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What led you to select your chosen area of specialization? How does your work aim to expand your field? (250 words) </w:t>
      </w:r>
    </w:p>
    <w:p w:rsidR="00000000" w:rsidDel="00000000" w:rsidP="00000000" w:rsidRDefault="00000000" w:rsidRPr="00000000" w14:paraId="000000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Cross-cultural spectatorship drives my research and scholarly interests. As an undergraduate in China, I encountered the West primarily through artwork and fiction, learning to see through aesthetic and cultural frameworks shaped by Western ideals of art and beauty. After moving to the United States, I soon grew aware of my own position within regimes of looking as both a spectator and an object of spectatorship. This reckoning with the power relations and imaginaries embedded in acts of looking has shaped my scholarly trajectory.</w:t>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dissertation examines theatrical and paratheatrical performances that utilized chinoiserie objects—porcelain, lacquerware, and automata—in seventeenth- and eighteenth-century Europe. Rather than reflecting Chinese aesthetics, Western representations of chinoiserie often articulated European perspectives of East Asia through imitation and substitution. Specifically, I focus on the notion of “feigned chinoiserie," which serve as theatrical stand-ins like paper cutouts, wax figures, and costumed dancers that circulated across comic theatre, ballet, and courtly banquets. Attending to mise-en-scène, choreography, and multisensory environments, I show how these performances shaped affective responses—curiosity, pleasure, wonder—through both objects and the architectural sites of display. Together, these strategies advanced European imperial logics by asserting cultural and technological mastery, </w:t>
      </w:r>
      <w:sdt>
        <w:sdtPr>
          <w:id w:val="687044368"/>
          <w:tag w:val="goog_rdk_0"/>
        </w:sdtPr>
        <w:sdtContent>
          <w:commentRangeStart w:id="0"/>
        </w:sdtContent>
      </w:sdt>
      <w:r w:rsidDel="00000000" w:rsidR="00000000" w:rsidRPr="00000000">
        <w:rPr>
          <w:rFonts w:ascii="Times New Roman" w:cs="Times New Roman" w:eastAsia="Times New Roman" w:hAnsi="Times New Roman"/>
          <w:rtl w:val="0"/>
        </w:rPr>
        <w:t xml:space="preserve">while obscuring dependence on Chinese imports.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art historians have established chinoiserie as a decorative and material network and literary scholars have examined its textual representations, my performance-centered approach investigates chinoiserie through theatrically staged, embodied encounters. This work brings new frameworks to theatre and performance studies and a fresh perspective to curatorial practices concerned with how display and spectatorship constructed European cultural authority.</w:t>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What appeals to you about object-based study and curatorial work? (250 words) </w:t>
      </w:r>
    </w:p>
    <w:p w:rsidR="00000000" w:rsidDel="00000000" w:rsidP="00000000" w:rsidRDefault="00000000" w:rsidRPr="00000000" w14:paraId="000000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interest in curatorial work grows from a conviction that objects carry layered histories, register power relations, and shape how cultures become legible within institutional settings. I first encountered Western culture through museums, where sustained attention to objects encouraged me to consider not only their formal qualities but also the conditions of their circulation, use, and display. These early encounters fostered an appreciation for how material culture invites viewers into historical narratives that might otherwise remain abstract.</w:t>
      </w:r>
    </w:p>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perspective has led me to understand curatorial practice as an complex interpretive process shaped by institutional priorities and histories of uneven documentation. My research experience at the Folger Shakespeare Library made this especially clear. While examining Black women’s contributions to Shakespearean performance, I encountered significant gaps in the archive resulting from longstanding practices that privileged certain performers, institutions, and audiences over others. Working across rehearsal photographs, press accounts, and ephemera, I developed interpretive frameworks that acknowledge these silences while situating performances within their cultural and historical contexts. This work clarified for me how curatorial decisions influence visibility and historical legibility. </w:t>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Museum of Chinese in America, I extended this approach through work with fragile archival materials, such as photography, recordings, and correspondence, documenting amateur opera groups that sustained cultural practice and community life across generations. Here, too, the archive reflected uneven preservation shaped by race, migration, and institutional neglect, making curatorial work essential to contextualizing </w:t>
      </w:r>
      <w:r w:rsidDel="00000000" w:rsidR="00000000" w:rsidRPr="00000000">
        <w:rPr>
          <w:rFonts w:ascii="Times New Roman" w:cs="Times New Roman" w:eastAsia="Times New Roman" w:hAnsi="Times New Roman"/>
          <w:rtl w:val="0"/>
        </w:rPr>
        <w:t xml:space="preserve">these materials</w:t>
      </w:r>
      <w:r w:rsidDel="00000000" w:rsidR="00000000" w:rsidRPr="00000000">
        <w:rPr>
          <w:rFonts w:ascii="Times New Roman" w:cs="Times New Roman" w:eastAsia="Times New Roman" w:hAnsi="Times New Roman"/>
          <w:rtl w:val="0"/>
        </w:rPr>
        <w:t xml:space="preserve"> without reinscribing narratives of marginality or loss. </w:t>
      </w:r>
    </w:p>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experiences have shaped my understanding of curatorial labor as a series of interpretive acts that can respond to structural gaps and inequities within the archive. This perspective now guides my commitment to exhibition practices that critically engage institutional histories, foreground underrepresented communities, and invite audiences to reflect on how histories are preserved and displayed.</w:t>
      </w:r>
    </w:p>
    <w:p w:rsidR="00000000" w:rsidDel="00000000" w:rsidP="00000000" w:rsidRDefault="00000000" w:rsidRPr="00000000" w14:paraId="0000000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Describe a museum exhibition, aspect of audience engagement, and/or object display that you have found to be particularly meaningful. (250 words) </w:t>
      </w:r>
    </w:p>
    <w:p w:rsidR="00000000" w:rsidDel="00000000" w:rsidP="00000000" w:rsidRDefault="00000000" w:rsidRPr="00000000" w14:paraId="0000000C">
      <w:pPr>
        <w:spacing w:line="240" w:lineRule="auto"/>
        <w:rPr>
          <w:rFonts w:ascii="Times New Roman" w:cs="Times New Roman" w:eastAsia="Times New Roman" w:hAnsi="Times New Roman"/>
        </w:rPr>
      </w:pPr>
      <w:sdt>
        <w:sdtPr>
          <w:id w:val="-1335298040"/>
          <w:tag w:val="goog_rdk_1"/>
        </w:sdtPr>
        <w:sdtContent>
          <w:commentRangeStart w:id="1"/>
        </w:sdtContent>
      </w:sdt>
      <w:r w:rsidDel="00000000" w:rsidR="00000000" w:rsidRPr="00000000">
        <w:rPr>
          <w:rFonts w:ascii="Times New Roman" w:cs="Times New Roman" w:eastAsia="Times New Roman" w:hAnsi="Times New Roman"/>
          <w:rtl w:val="0"/>
        </w:rPr>
        <w:t xml:space="preserve">The Metropolitan Museum of Art’s </w:t>
      </w:r>
      <w:r w:rsidDel="00000000" w:rsidR="00000000" w:rsidRPr="00000000">
        <w:rPr>
          <w:rFonts w:ascii="Times New Roman" w:cs="Times New Roman" w:eastAsia="Times New Roman" w:hAnsi="Times New Roman"/>
          <w:i w:val="1"/>
          <w:iCs w:val="1"/>
          <w:rtl w:val="0"/>
        </w:rPr>
        <w:t xml:space="preserve">Monstrous Beauty: A Feminist Revision of Chinoiserie</w:t>
      </w:r>
      <w:r w:rsidDel="00000000" w:rsidR="00000000" w:rsidRPr="00000000">
        <w:rPr>
          <w:rFonts w:ascii="Times New Roman" w:cs="Times New Roman" w:eastAsia="Times New Roman" w:hAnsi="Times New Roman"/>
          <w:rtl w:val="0"/>
        </w:rPr>
        <w:t xml:space="preserve"> (2025) demonstrates how curatorial intervention shifts decorative arts from objects of aesthetic pleasure to sites of critical engagement. Rather than offering a corrective narrative that “fixes” chinoiserie’s problematic history, the exhibition stages transtemporal encounters by placing seventeenth-century chinoiserie objects alongside contemporary ceramic installation and performance works to disrupt nostalgic viewing.</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For example, Patty Chang’s porcelain massage table </w:t>
      </w:r>
      <w:r w:rsidDel="00000000" w:rsidR="00000000" w:rsidRPr="00000000">
        <w:rPr>
          <w:rFonts w:ascii="Times New Roman" w:cs="Times New Roman" w:eastAsia="Times New Roman" w:hAnsi="Times New Roman"/>
          <w:i w:val="1"/>
          <w:iCs w:val="1"/>
          <w:rtl w:val="0"/>
        </w:rPr>
        <w:t xml:space="preserve">Abyssal</w:t>
      </w:r>
      <w:r w:rsidDel="00000000" w:rsidR="00000000" w:rsidRPr="00000000">
        <w:rPr>
          <w:rFonts w:ascii="Times New Roman" w:cs="Times New Roman" w:eastAsia="Times New Roman" w:hAnsi="Times New Roman"/>
          <w:rtl w:val="0"/>
        </w:rPr>
        <w:t xml:space="preserve">, which memorializes victims of the Atlanta spa shootings and will enter the Pacific Ocean, appears alongside historical porcelain pieces. These juxtapositions force audiences to separate aestheticized objects from pleasure and confront the affective weight of contemporary gendered and racialized violence. The related program Creative Convening featured panels on the continuing influence of chinoiserie in design and the beauty industry. It extended the themes of the exhibition while providing a platform for scholars, artists, journalists, and designers to collaborate and highlight the lived experiences of Asian and Asian American communities.</w:t>
      </w:r>
    </w:p>
    <w:p w:rsidR="00000000" w:rsidDel="00000000" w:rsidP="00000000" w:rsidRDefault="00000000" w:rsidRPr="00000000" w14:paraId="0000000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exhibition provides an example of how my research methodologies—attention to objects, spectatorship, and affect—can translate into curatorial practice. The exhibition uses display, juxtaposition, and audience engagement to produce critical encounters with objects and histories. Critics described the contemporary interventions as “jarring,” inadvertently validating the exhibition’s intent to reveal how chinoiserie’s aesthetics historically anesthetized viewers to ideological violence. The exhibition models how institutions can acknowledge their role in producing racialized fantasies while creating space for critical reencounters with history and for community voices.</w:t>
      </w:r>
    </w:p>
    <w:p w:rsidR="00000000" w:rsidDel="00000000" w:rsidP="00000000" w:rsidRDefault="00000000" w:rsidRPr="00000000" w14:paraId="000000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What do you feel are the most urgent and compelling issues in museums today? How do you hope the Seminar might address them? (250 words) </w:t>
      </w:r>
    </w:p>
    <w:p w:rsidR="00000000" w:rsidDel="00000000" w:rsidP="00000000" w:rsidRDefault="00000000" w:rsidRPr="00000000" w14:paraId="0000000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financial instability and technological disruption are loosening the threads of traditional institutional frameworks, m</w:t>
      </w:r>
      <w:r w:rsidDel="00000000" w:rsidR="00000000" w:rsidRPr="00000000">
        <w:rPr>
          <w:rFonts w:ascii="Times New Roman" w:cs="Times New Roman" w:eastAsia="Times New Roman" w:hAnsi="Times New Roman"/>
          <w:rtl w:val="0"/>
        </w:rPr>
        <w:t xml:space="preserve">useums today face multiple concurrent crises. Federal funding cuts to IMLS, NEA, and NEH have cost museums hundreds of millions of dollars, while major institutions such as the Brooklyn Museum and the Guggenheim have reduced staff by almost 10%. According to the 2025 AAM Snapshot, only half of museums have recovered to pre-pandemic attendance levels. Meanwhile, artificial intelligence </w:t>
      </w:r>
      <w:sdt>
        <w:sdtPr>
          <w:id w:val="-1552869630"/>
          <w:tag w:val="goog_rdk_2"/>
        </w:sdtPr>
        <w:sdtContent>
          <w:commentRangeStart w:id="2"/>
        </w:sdtContent>
      </w:sdt>
      <w:r w:rsidDel="00000000" w:rsidR="00000000" w:rsidRPr="00000000">
        <w:rPr>
          <w:rFonts w:ascii="Times New Roman" w:cs="Times New Roman" w:eastAsia="Times New Roman" w:hAnsi="Times New Roman"/>
          <w:rtl w:val="0"/>
        </w:rPr>
        <w:t xml:space="preserve">poses challenges </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that most understaffed institutions cannot address strategically or ethically. </w:t>
      </w:r>
    </w:p>
    <w:p w:rsidR="00000000" w:rsidDel="00000000" w:rsidP="00000000" w:rsidRDefault="00000000" w:rsidRPr="00000000" w14:paraId="000000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these pressures converge in collections work, where digitizing fragile and antiquarian materials still depends on careful human labor that AI cannot replace. Even when institutions digitize holdings, many lack the staffing to describe materials, produce transcripts, or make them searchable. Here, I see potential for AI to ease this bottleneck in museums by generating description and metadata at scale and converting collections that exist largely in name into usable, accessible resources.</w:t>
      </w:r>
    </w:p>
    <w:p w:rsidR="00000000" w:rsidDel="00000000" w:rsidP="00000000" w:rsidRDefault="00000000" w:rsidRPr="00000000" w14:paraId="0000001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curatorial practice, I am interested in exploring how these pressures intersect with collections, interpretation, and display. How do funding constraints shape the decisions curators make in prioritizing acquisitions or allocating resources for conservation and exhibition? How can museums integrate AI into document transcription, cataloging, and visualization? How can exhibitions balance research-driven storytelling, audience engagement, and innovative technologies within the limits of institutional resources?</w:t>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Seminar offers an ideal setting to explore these questions collaboratively. By engaging with emerging scholars who bring diverse methodological approaches and community perspectives, I aim to develop strategies for exhibitions that foreground both object-oriented histories and the audience experiences that now attend to them.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ach Muhlbauer" w:id="2" w:date="2026-02-05T05:25:32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too vague</w:t>
      </w:r>
    </w:p>
  </w:comment>
  <w:comment w:author="Zach Muhlbauer" w:id="1" w:date="2026-02-05T05:19:14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gloss</w:t>
      </w:r>
    </w:p>
  </w:comment>
  <w:comment w:author="Zach Muhlbauer" w:id="0" w:date="2026-02-05T03:45:34Z">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point, but it leaves me asking more questions than anything. Be more specific with what you mean—country? kind of import? etc—or probably cut 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3" w15:done="0"/>
  <w15:commentEx w15:paraId="00000014" w15:done="0"/>
  <w15:commentEx w15:paraId="0000001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3458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3458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3458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3458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3458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3458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3458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3458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3458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3458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3458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3458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3458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3458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3458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3458B"/>
    <w:rPr>
      <w:i w:val="1"/>
      <w:iCs w:val="1"/>
      <w:color w:val="404040" w:themeColor="text1" w:themeTint="0000BF"/>
    </w:rPr>
  </w:style>
  <w:style w:type="paragraph" w:styleId="ListParagraph">
    <w:name w:val="List Paragraph"/>
    <w:basedOn w:val="Normal"/>
    <w:uiPriority w:val="34"/>
    <w:qFormat w:val="1"/>
    <w:rsid w:val="0093458B"/>
    <w:pPr>
      <w:ind w:left="720"/>
      <w:contextualSpacing w:val="1"/>
    </w:pPr>
  </w:style>
  <w:style w:type="character" w:styleId="IntenseEmphasis">
    <w:name w:val="Intense Emphasis"/>
    <w:basedOn w:val="DefaultParagraphFont"/>
    <w:uiPriority w:val="21"/>
    <w:qFormat w:val="1"/>
    <w:rsid w:val="0093458B"/>
    <w:rPr>
      <w:i w:val="1"/>
      <w:iCs w:val="1"/>
      <w:color w:val="0f4761" w:themeColor="accent1" w:themeShade="0000BF"/>
    </w:rPr>
  </w:style>
  <w:style w:type="paragraph" w:styleId="IntenseQuote">
    <w:name w:val="Intense Quote"/>
    <w:basedOn w:val="Normal"/>
    <w:next w:val="Normal"/>
    <w:link w:val="IntenseQuoteChar"/>
    <w:uiPriority w:val="30"/>
    <w:qFormat w:val="1"/>
    <w:rsid w:val="0093458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3458B"/>
    <w:rPr>
      <w:i w:val="1"/>
      <w:iCs w:val="1"/>
      <w:color w:val="0f4761" w:themeColor="accent1" w:themeShade="0000BF"/>
    </w:rPr>
  </w:style>
  <w:style w:type="character" w:styleId="IntenseReference">
    <w:name w:val="Intense Reference"/>
    <w:basedOn w:val="DefaultParagraphFont"/>
    <w:uiPriority w:val="32"/>
    <w:qFormat w:val="1"/>
    <w:rsid w:val="0093458B"/>
    <w:rPr>
      <w:b w:val="1"/>
      <w:bCs w:val="1"/>
      <w:smallCaps w:val="1"/>
      <w:color w:val="0f4761" w:themeColor="accent1" w:themeShade="0000BF"/>
      <w:spacing w:val="5"/>
    </w:rPr>
  </w:style>
  <w:style w:type="paragraph" w:styleId="font-claude-response-body" w:customStyle="1">
    <w:name w:val="font-claude-response-body"/>
    <w:basedOn w:val="Normal"/>
    <w:rsid w:val="00375AC8"/>
    <w:pPr>
      <w:spacing w:after="100" w:afterAutospacing="1" w:before="100" w:beforeAutospacing="1" w:line="240" w:lineRule="auto"/>
    </w:pPr>
    <w:rPr>
      <w:rFonts w:ascii="Times New Roman" w:cs="Times New Roman" w:eastAsia="Times New Roman" w:hAnsi="Times New Roman"/>
      <w:kern w:val="0"/>
    </w:rPr>
  </w:style>
  <w:style w:type="paragraph" w:styleId="NormalWeb">
    <w:name w:val="Normal (Web)"/>
    <w:basedOn w:val="Normal"/>
    <w:uiPriority w:val="99"/>
    <w:semiHidden w:val="1"/>
    <w:unhideWhenUsed w:val="1"/>
    <w:rsid w:val="00512FC6"/>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512FC6"/>
    <w:rPr>
      <w:b w:val="1"/>
      <w:bCs w:val="1"/>
    </w:rPr>
  </w:style>
  <w:style w:type="paragraph" w:styleId="p1" w:customStyle="1">
    <w:name w:val="p1"/>
    <w:basedOn w:val="Normal"/>
    <w:rsid w:val="004B6D38"/>
    <w:pPr>
      <w:spacing w:after="100" w:afterAutospacing="1" w:before="100" w:beforeAutospacing="1" w:line="240" w:lineRule="auto"/>
    </w:pPr>
    <w:rPr>
      <w:rFonts w:ascii="Times New Roman" w:cs="Times New Roman" w:eastAsia="Times New Roman" w:hAnsi="Times New Roman"/>
      <w:kern w:val="0"/>
    </w:rPr>
  </w:style>
  <w:style w:type="paragraph" w:styleId="p2" w:customStyle="1">
    <w:name w:val="p2"/>
    <w:basedOn w:val="Normal"/>
    <w:rsid w:val="004B6D38"/>
    <w:pPr>
      <w:spacing w:after="100" w:afterAutospacing="1" w:before="100" w:beforeAutospacing="1" w:line="240" w:lineRule="auto"/>
    </w:pPr>
    <w:rPr>
      <w:rFonts w:ascii="Times New Roman" w:cs="Times New Roman" w:eastAsia="Times New Roman" w:hAnsi="Times New Roman"/>
      <w:kern w:val="0"/>
    </w:rPr>
  </w:style>
  <w:style w:type="character" w:styleId="s1" w:customStyle="1">
    <w:name w:val="s1"/>
    <w:basedOn w:val="DefaultParagraphFont"/>
    <w:rsid w:val="004B6D38"/>
  </w:style>
  <w:style w:type="character" w:styleId="CommentReference">
    <w:name w:val="annotation reference"/>
    <w:basedOn w:val="DefaultParagraphFont"/>
    <w:uiPriority w:val="99"/>
    <w:semiHidden w:val="1"/>
    <w:unhideWhenUsed w:val="1"/>
    <w:rsid w:val="00A255B1"/>
    <w:rPr>
      <w:sz w:val="16"/>
      <w:szCs w:val="16"/>
    </w:rPr>
  </w:style>
  <w:style w:type="paragraph" w:styleId="CommentText">
    <w:name w:val="annotation text"/>
    <w:basedOn w:val="Normal"/>
    <w:link w:val="CommentTextChar"/>
    <w:uiPriority w:val="99"/>
    <w:semiHidden w:val="1"/>
    <w:unhideWhenUsed w:val="1"/>
    <w:rsid w:val="00A255B1"/>
    <w:pPr>
      <w:spacing w:line="240" w:lineRule="auto"/>
    </w:pPr>
    <w:rPr>
      <w:sz w:val="20"/>
      <w:szCs w:val="20"/>
    </w:rPr>
  </w:style>
  <w:style w:type="character" w:styleId="CommentTextChar" w:customStyle="1">
    <w:name w:val="Comment Text Char"/>
    <w:basedOn w:val="DefaultParagraphFont"/>
    <w:link w:val="CommentText"/>
    <w:uiPriority w:val="99"/>
    <w:semiHidden w:val="1"/>
    <w:rsid w:val="00A255B1"/>
    <w:rPr>
      <w:sz w:val="20"/>
      <w:szCs w:val="20"/>
    </w:rPr>
  </w:style>
  <w:style w:type="paragraph" w:styleId="CommentSubject">
    <w:name w:val="annotation subject"/>
    <w:basedOn w:val="CommentText"/>
    <w:next w:val="CommentText"/>
    <w:link w:val="CommentSubjectChar"/>
    <w:uiPriority w:val="99"/>
    <w:semiHidden w:val="1"/>
    <w:unhideWhenUsed w:val="1"/>
    <w:rsid w:val="00A255B1"/>
    <w:rPr>
      <w:b w:val="1"/>
      <w:bCs w:val="1"/>
    </w:rPr>
  </w:style>
  <w:style w:type="character" w:styleId="CommentSubjectChar" w:customStyle="1">
    <w:name w:val="Comment Subject Char"/>
    <w:basedOn w:val="CommentTextChar"/>
    <w:link w:val="CommentSubject"/>
    <w:uiPriority w:val="99"/>
    <w:semiHidden w:val="1"/>
    <w:rsid w:val="00A255B1"/>
    <w:rPr>
      <w:b w:val="1"/>
      <w:bCs w:val="1"/>
      <w:sz w:val="20"/>
      <w:szCs w:val="2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RxH6PGwOL8q3FTDr/tBYiC5iVQ==">CgMxLjAaJwoBMBIiCiAIBCocCgtBQUFCenVBMjdmbxAIGgtBQUFCenVBMjdmbxonCgExEiIKIAgEKhwKC0FBQUJ6dUEyN2xVEAgaC0FBQUJ6dUEyN2xVGicKATISIgogCAQqHAoLQUFBQnp1QTI3bVkQCBoLQUFBQnp1QTI3bVkipwIKC0FBQUJ6dUEyN2ZZEvEBCgtBQUFCenVBMjdmWRILQUFBQnp1QTI3ZlkaDQoJdGV4dC9odG1sEgAiDgoKdGV4dC9wbGFpbhIAKhsiFTEwNjExOTM3MjEwMjEzNTY1ODc0NigAOAAwitOV38IzONXXld/CM0pOCiRhcHBsaWNhdGlvbi92bmQuZ29vZ2xlLWFwcHMuZG9jcy5tZHMaJsLX2uQBIAoeCgcKAXMQARgAEhEKC1RvZ2V0aGVyLCB0EAEYABgBWgxvaHVyYmMyaHdvNnZyAiAAeACCARRzdWdnZXN0Lm16M3d5aHoxb25laZoBBggAEAAYALABALgBAMgBABiK05XfwjMg1deV38IzMABCFHN1Z2dlc3QubXozd3loejFvbmVpIqECCgtBQUFCenVBMjdtTRLrAQoLQUFBQnp1QTI3bU0SC0FBQUJ6dUEyN21NGg0KCXRleHQvaHRtbBIAIg4KCnRleHQvcGxhaW4SACobIhUxMDYxMTkzNzIxMDIxMzU2NTg3NDYoADgAMPjEieLCMzjH0oniwjNKSAokYXBwbGljYXRpb24vdm5kLmdvb2dsZS1hcHBzLmRvY3MubWRzGiDC19rkARoaGAoUCg50aGUgdGhyZWFkcyBvZhABGAAQAVoMZ3dhaGYzdXZmMmp3cgIgAHgAggEUc3VnZ2VzdC5nMzVoMTY3MW0wZXqaAQYIABAAGACwAQC4AQDIAQAY+MSJ4sIzIMfSieLCMzAAQhRzdWdnZXN0LmczNWgxNjcxbTBleiKVAgoLQUFBQnp1QTI3bGsS3wEKC0FBQUJ6dUEyN2xrEgtBQUFCenVBMjdsaxoNCgl0ZXh0L2h0bWwSACIOCgp0ZXh0L3BsYWluEgAqGyIVMTA2MTE5MzcyMTAyMTM1NjU4NzQ2KAA4ADDVrPrhwjM46rX64cIzSjwKJGFwcGxpY2F0aW9uL3ZuZC5nb29nbGUtYXBwcy5kb2NzLm1kcxoUwtfa5AEOGgwKCAoCPT0QARgAEAFaDGpuZm1ta21ldzQyNnICIAB4AIIBFHN1Z2dlc3QuZ21zYTE0a3ZsNjJtmgEGCAAQABgAsAEAuAEAyAEAGNWs+uHCMyDqtfrhwjMwAEIUc3VnZ2VzdC5nbXNhMTRrdmw2Mm0ilgIKC0FBQUJ6dUEyN21JEuABCgtBQUFCenVBMjdtSRILQUFBQnp1QTI3bUkaDQoJdGV4dC9odG1sEgAiDgoKdGV4dC9wbGFpbhIAKhsiFTEwNjExOTM3MjEwMjEzNTY1ODc0NigAOAAwqvKG4sIzOM72huLCM0o9CiRhcHBsaWNhdGlvbi92bmQuZ29vZ2xlLWFwcHMuZG9jcy5tZHMaFcLX2uQBDxINCgkKA2luZxABGAAQAVoManI0b2p0d2g4djY2cgIgAHgAggEUc3VnZ2VzdC5pemt2dTRkencxMHGaAQYIABAAGACwAQC4AQDIAQAYqvKG4sIzIM72huLCMzAAQhRzdWdnZXN0Lml6a3Z1NGR6dzEwcSKrAgoLQUFBQnp1QTI3bVkS+QEKC0FBQUJ6dUEyN21ZEgtBQUFCenVBMjdtWRoeCgl0ZXh0L2h0bWwSEVRoaXMgaXMgdG9vIHZhZ3VlIh8KCnRleHQvcGxhaW4SEVRoaXMgaXMgdG9vIHZhZ3VlKhsiFTEwNjExOTM3MjEwMjEzNTY1ODc0NigAOAAww4qN4sIzOMOKjeLCM0o2Cgp0ZXh0L3BsYWluEihwb3Nlc3ByZXNlbnRzIGEgdGVjaG5vbG9naWNhbCBjaGFsbGVuZ2VzWgtycTg0Nm9udXU1bXICIAB4AJoBBggAEAAYAKoBExIRVGhpcyBpcyB0b28gdmFndWWwAQC4AQDIAQAYw4qN4sIzIMOKjeLCMzAAQhBraXgucGtzbjk5bHQzMmdmIp4CCgtBQUFCenVBMjdscxLoAQoLQUFBQnp1QTI3bHMSC0FBQUJ6dUEyN2xzGg0KCXRleHQvaHRtbBIAIg4KCnRleHQvcGxhaW4SACobIhUxMDYxMTkzNzIxMDIxMzU2NTg3NDYoADgAMLXY/uHCMzic3v7hwjNKRQokYXBwbGljYXRpb24vdm5kLmdvb2dsZS1hcHBzLmRvY3MubWRzGh3C19rkARcKFQoICgJhbBABGAASBwoBZRABGAAYAVoMbDBtdjBkaDBvYnZ3cgIgAHgAggEUc3VnZ2VzdC5xY3JiMTBtanl4Z3CaAQYIABAAGACwAQC4AQDIAQAYtdj+4cIzIJze/uHCMzAAQhRzdWdnZXN0LnFjcmIxMG1qeXhncCKUAgoLQUFBQnZLa0c5akUS3gEKC0FBQUJ2S2tHOWpFEgtBQUFCdktrRzlqRRoNCgl0ZXh0L2h0bWwSACIOCgp0ZXh0L3BsYWluEgAqGyIVMTA2MTE5MzcyMTAyMTM1NjU4NzQ2KAA4ADDd4r/awjM4+O6/2sIzSjsKJGFwcGxpY2F0aW9uL3ZuZC5nb29nbGUtYXBwcy5kb2NzLm1kcxoTwtfa5AENGgsKBwoBcxABGAAQAVoMbHhkMDV6cjdlZnp0cgIgAHgAggEUc3VnZ2VzdC5tNTh2cm9xODQwenqaAQYIABAAGACwAQC4AQDIAQAY3eK/2sIzIPjuv9rCMzAAQhRzdWdnZXN0Lm01OHZyb3E4NDB6eiLXAQoLQUFBQnZLa0c5aW8SoQEKC0FBQUJ2S2tHOWlvEgtBQUFCdktrRzlpbxoNCgl0ZXh0L2h0bWwSACIOCgp0ZXh0L3BsYWluEgAqGyIVMTA2MTE5MzcyMTAyMTM1NjU4NzQ2KAA4ADCX66jawjM4l+uo2sIzWgw1NG04Znlmb21qZW5yAiAAeACCARRzdWdnZXN0Lmp0bXZnMWZ3dXlrMpoBBggAEAAYALABALgBAMgBABiX66jawjMgl+uo2sIzMABCFHN1Z2dlc3QuanRtdmcxZnd1eWsyIoYGCgtBQUFCenVBMjdsVRLUBQoLQUFBQnp1QTI3bFUSC0FBQUJ6dUEyN2xVGhwKCXRleHQvaHRtbBIPZXhjZWxsZW50IGdsb3NzIh0KCnRleHQvcGxhaW4SD2V4Y2VsbGVudCBnbG9zcyobIhUxMDYxMTkzNzIxMDIxMzU2NTg3NDYoADgAMPGF9uHCMzjxhfbhwjNKlQQKCnRleHQvcGxhaW4ShgRUaGUgTWV0cm9wb2xpdGFuIE11c2V1bSBvZiBBcnTigJlzIE1vbnN0cm91cyBCZWF1dHk6IEEgRmVtaW5pc3QgUmV2aXNpb24gb2YgQ2hpbm9pc2VyaWUgKDIwMjUpIGRlbW9uc3RyYXRlcyBob3cgY3VyYXRvcmlhbCBpbnRlcnZlbnRpb24gc2hpZnRzIGRlY29yYXRpdmUgYXJ0cyBmcm9tIG9iamVjdHMgb2YgYWVzdGhldGljIHBsZWFzdXJlIHRvIHNpdGVzIG9mIGNyaXRpY2FsIGVuZ2FnZW1lbnQuIFJhdGhlciB0aGFuIG9mZmVyaW5nIGEgY29ycmVjdGl2ZSBuYXJyYXRpdmUgdGhhdCDigJxmaXhlc+KAnSBjaGlub2lzZXJpZeKAmXMgcHJvYmxlbWF0aWMgaGlzdG9yeSwgdGhlIGV4aGliaXRpb24gc3RhZ2VzIHRyYW5zdGVtcG9yYWwgZW5jb3VudGVycyBieSBwbGFjaW5nIHNldmVudGVlbnRoLWNlbnR1cnkgY2hpbm9pc2VyaWUgb2JqZWN0cyBhbG9uZ3NpZGUgY29udGVtcG9yYXJ5IGNlcmFtaWMgaW5zdGFsbGF0aW9uIGFuZCBwZXJmb3JtYW5jZSB3b3JrcyB0byBkaXNydXB0IG5vc3RhbGdpYyB2aWV3aW5nLloMZWh4Z2ttcnVrdW9pcgIgAHgAmgEGCAAQABgAqgEREg9leGNlbGxlbnQgZ2xvc3OwAQC4AQDIAQAY8YX24cIzIPGF9uHCMzAAQhBraXguaWFmbjJmeHd6Z3V6IpMCCgtBQUFCenVBMjdmaxLdAQoLQUFBQnp1QTI3ZmsSC0FBQUJ6dUEyN2ZrGg0KCXRleHQvaHRtbBIAIg4KCnRleHQvcGxhaW4SACobIhUxMDYxMTkzNzIxMDIxMzU2NTg3NDYoADgAMPvEmd/CMzjqyZnfwjNKOgokYXBwbGljYXRpb24vdm5kLmdvb2dsZS1hcHBzLmRvY3MubWRzGhLC19rkAQwSCgoGCgAQFBgAEAFaDHRpZnVoYnVhZ2ZzanICIAB4AIIBFHN1Z2dlc3QudHNldngycjVkNG4ymgEGCAAQABgAsAEAuAEAyAEAGPvEmd/CMyDqyZnfwjMwAEIUc3VnZ2VzdC50c2V2eDJyNWQ0bjIi6AUKC0FBQUJ6dUEyN2ZvErYFCgtBQUFCenVBMjdmbxILQUFBQnp1QTI3Zm8arwEKCXRleHQvaHRtbBKhAUkgbGlrZSB0aGlzIHBvaW50LCBidXQgaXQgbGVhdmVzIG1lIGFza2luZyBtb3JlIHF1ZXN0aW9ucyB0aGFuIGFueXRoaW5nLiBCZSBtb3JlIHNwZWNpZmljIHdpdGggd2hhdCB5b3UgbWVhbuKAlGNvdW50cnk/IGtpbmQgb2YgaW1wb3J0PyBldGPigJRvciBwcm9iYWJseSBjdXQgaXQuIrABCgp0ZXh0L3BsYWluEqEBSSBsaWtlIHRoaXMgcG9pbnQsIGJ1dCBpdCBsZWF2ZXMgbWUgYXNraW5nIG1vcmUgcXVlc3Rpb25zIHRoYW4gYW55dGhpbmcuIEJlIG1vcmUgc3BlY2lmaWMgd2l0aCB3aGF0IHlvdSBtZWFu4oCUY291bnRyeT8ga2luZCBvZiBpbXBvcnQ/IGV0Y+KAlG9yIHByb2JhYmx5IGN1dCBpdC4qGyIVMTA2MTE5MzcyMTAyMTM1NjU4NzQ2KAA4ADDGgJ/fwjM4xoCf38IzSjwKCnRleHQvcGxhaW4SLndoaWxlIG9ic2N1cmluZyBkZXBlbmRlbmNlIG9uIENoaW5lc2UgaW1wb3J0cy5aDHplbXo4b3JoeHVhZXICIAB4AJoBBggAEAAYAKoBpAESoQFJIGxpa2UgdGhpcyBwb2ludCwgYnV0IGl0IGxlYXZlcyBtZSBhc2tpbmcgbW9yZSBxdWVzdGlvbnMgdGhhbiBhbnl0aGluZy4gQmUgbW9yZSBzcGVjaWZpYyB3aXRoIHdoYXQgeW91IG1lYW7igJRjb3VudHJ5PyBraW5kIG9mIGltcG9ydD8gZXRj4oCUb3IgcHJvYmFibHkgY3V0IGl0LrABALgBAMgBABjGgJ/fwjMgxoCf38IzMABCEGtpeC5qZWZ1ajdxcmhzcjA4AGomChRzdWdnZXN0LnVoenNlMXh0c2NmZBIOWmFjaCBNdWhsYmF1ZXJqJgoUc3VnZ2VzdC54MXFoNW83NXZ2NWwSDlphY2ggTXVobGJhdWVyaiYKFHN1Z2dlc3QuY3RiYTkxb2g3bzR6Eg5aYWNoIE11aGxiYXVlcmomChRzdWdnZXN0LjV4NmxjdjM2OHB3bRIOWmFjaCBNdWhsYmF1ZXJqJgoUc3VnZ2VzdC55MGM4ZHIxZjNwemISDlphY2ggTXVobGJhdWVyaiYKFHN1Z2dlc3QubXozd3loejFvbmVpEg5aYWNoIE11aGxiYXVlcmomChRzdWdnZXN0LjJidTRpdGdnOGt0NhIOWmFjaCBNdWhsYmF1ZXJqJgoUc3VnZ2VzdC54MXgwc3FtOW80MWkSDlphY2ggTXVobGJhdWVyaiYKFHN1Z2dlc3QubWFrNDByZjkzczh3Eg5aYWNoIE11aGxiYXVlcmomChRzdWdnZXN0LnNxcDQ5bWZrNnlwNhIOWmFjaCBNdWhsYmF1ZXJqJgoUc3VnZ2VzdC5yZGZndzk4aGVlbTQSDlphY2ggTXVobGJhdWVyaiYKFHN1Z2dlc3QuZmZoNmx0ZzVhaTh5Eg5aYWNoIE11aGxiYXVlcmomChRzdWdnZXN0LjhhNXhicWY4OWZxZxIOWmFjaCBNdWhsYmF1ZXJqJgoUc3VnZ2VzdC4zdjhwZHh2MDBkMGYSDlphY2ggTXVobGJhdWVyaiYKFHN1Z2dlc3QuNG90NHRlNHo1OTB4Eg5aYWNoIE11aGxiYXVlcmomChRzdWdnZXN0LmczNWgxNjcxbTBlehIOWmFjaCBNdWhsYmF1ZXJqJgoUc3VnZ2VzdC5nbXNhMTRrdmw2Mm0SDlphY2ggTXVobGJhdWVyaiYKFHN1Z2dlc3QuaXprdnU0ZHp3MTBxEg5aYWNoIE11aGxiYXVlcmomChRzdWdnZXN0LnJ0NGw3b3htdWE5dxIOWmFjaCBNdWhsYmF1ZXJqJgoUc3VnZ2VzdC40b242anB4dWdvbG4SDlphY2ggTXVobGJhdWVyaiYKFHN1Z2dlc3QucnEyamx1eWxrb2RxEg5aYWNoIE11aGxiYXVlcmomChRzdWdnZXN0LjY5NXU5N2NwODN2bxIOWmFjaCBNdWhsYmF1ZXJqJgoUc3VnZ2VzdC52MGJjNzN5MWF6b2ISDlphY2ggTXVobGJhdWVyaiYKFHN1Z2dlc3Qudjg4ZGc2bGZ0cnc3Eg5aYWNoIE11aGxiYXVlcmomChRzdWdnZXN0LmIzNnNjOGdvcnYyZRIOWmFjaCBNdWhsYmF1ZXJqJgoUc3VnZ2VzdC5obm45cXJhdHVrN3cSDlphY2ggTXVobGJhdWVyaiYKFHN1Z2dlc3QuaHI2Zmk4MXU0MDN5Eg5aYWNoIE11aGxiYXVlcmomChRzdWdnZXN0LjJudDN4ZXFnamY5bxIOWmFjaCBNdWhsYmF1ZXJqJgoUc3VnZ2VzdC53bGIxNG1xeDRodm0SDlphY2ggTXVobGJhdWVyaiYKFHN1Z2dlc3QucWNyYjEwbWp5eGdwEg5aYWNoIE11aGxiYXVlcmomChRzdWdnZXN0Lm9wcjM1NWZtczNybRIOWmFjaCBNdWhsYmF1ZXJqJgoUc3VnZ2VzdC45cHMwNHk4N2NnNncSDlphY2ggTXVobGJhdWVyaiYKFHN1Z2dlc3QucmVpNzhqNGtqd2FkEg5aYWNoIE11aGxiYXVlcmomChRzdWdnZXN0LmNrcHQ5cmZqZzIzZxIOWmFjaCBNdWhsYmF1ZXJqJgoUc3VnZ2VzdC5tNTh2cm9xODQwenoSDlphY2ggTXVobGJhdWVyaiYKFHN1Z2dlc3QuanRtdmcxZnd1eWsyEg5aYWNoIE11aGxiYXVlcmomChRzdWdnZXN0LnB5N21la3F2aGVqdhIOWmFjaCBNdWhsYmF1ZXJqJgoUc3VnZ2VzdC5haW85cmlmNTdhb28SDlphY2ggTXVobGJhdWVyaiYKFHN1Z2dlc3Qubzl0bjVsMmFhbTNjEg5aYWNoIE11aGxiYXVlcmomChRzdWdnZXN0Lm44N3VuYWVybW41dhIOWmFjaCBNdWhsYmF1ZXJqJgoUc3VnZ2VzdC4xMWhqeWE2dWM5eG8SDlphY2ggTXVobGJhdWVyaiYKFHN1Z2dlc3QuaWVucXMwa21vZWxoEg5aYWNoIE11aGxiYXVlcmomChRzdWdnZXN0LmJvZzlibWg2eG9odxIOWmFjaCBNdWhsYmF1ZXJqJgoUc3VnZ2VzdC5yNXZ5c2wyems1amoSDlphY2ggTXVobGJhdWVyaiYKFHN1Z2dlc3QuZ3liN25jY2NlcmFtEg5aYWNoIE11aGxiYXVlcmolChNzdWdnZXN0LnZud3RxNWcwd3ZlEg5aYWNoIE11aGxiYXVlcmomChRzdWdnZXN0Lm1oc3JyZGJpdWpxaxIOWmFjaCBNdWhsYmF1ZXJqJgoUc3VnZ2VzdC51OGs5NDh6OWN1M2USDlphY2ggTXVobGJhdWVyaiYKFHN1Z2dlc3QudHNldngycjVkNG4yEg5aYWNoIE11aGxiYXVlcmomChRzdWdnZXN0LjlvNnNpZDN5dmliaxIOWmFjaCBNdWhsYmF1ZXJqJgoUc3VnZ2VzdC53cmp5Y3d5ejhreTgSDlphY2ggTXVobGJhdWVyaiYKFHN1Z2dlc3QuanQ5ems2YXU2aTM0Eg5aYWNoIE11aGxiYXVlcmomChRzdWdnZXN0LjVycDZ6eXBpNTBibhIOWmFjaCBNdWhsYmF1ZXJqJgoUc3VnZ2VzdC52MDhydXY2MGdjejkSDlphY2ggTXVobGJhdWVyaiYKFHN1Z2dlc3Qua2R0NDRranN4dzM2Eg5aYWNoIE11aGxiYXVlcmomChRzdWdnZXN0LmV2aWlubTYzdmZzdhIOWmFjaCBNdWhsYmF1ZXJqJgoUc3VnZ2VzdC50d2NoZHlhazAwaXQSDlphY2ggTXVobGJhdWVyaiYKFHN1Z2dlc3QuM3NpbXR0bzl2MjduEg5aYWNoIE11aGxiYXVlcnIhMUgtLVVxSEhkdzBzVXViSUxpYmhTQi1Rd2xoMzRneD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2026-02-04T01:04:00Z</dcterms:created>
  <dc:creator>Cen Liu</dc:creator>
</cp:coreProperties>
</file>