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ind w:firstLine="0"/>
      </w:pPr>
      <w:r>
        <w:rPr>
          <w:rFonts w:ascii="Times New Roman" w:hAnsi="Times New Roman"/>
          <w:b/>
          <w:sz w:val="36"/>
        </w:rPr>
        <w:t>Cloze Reading and Twin Histories of Occlusion</w:t>
      </w:r>
    </w:p>
    <w:p>
      <w:pPr>
        <w:spacing w:after="40"/>
        <w:ind w:firstLine="0"/>
      </w:pPr>
      <w:r>
        <w:rPr>
          <w:rFonts w:ascii="Times New Roman" w:hAnsi="Times New Roman"/>
          <w:i w:val="0"/>
          <w:sz w:val="22"/>
        </w:rPr>
        <w:t>Zach Muhlbauer</w:t>
      </w:r>
    </w:p>
    <w:p>
      <w:pPr>
        <w:spacing w:after="40"/>
        <w:ind w:firstLine="0"/>
      </w:pPr>
      <w:r>
        <w:rPr>
          <w:rFonts w:ascii="Times New Roman" w:hAnsi="Times New Roman"/>
          <w:i/>
          <w:sz w:val="22"/>
        </w:rPr>
        <w:t>The Graduate Center, City University of New York</w:t>
      </w:r>
    </w:p>
    <w:p>
      <w:pPr>
        <w:spacing w:after="40"/>
        <w:ind w:firstLine="0"/>
      </w:pPr>
      <w:r>
        <w:rPr>
          <w:rFonts w:ascii="Times New Roman" w:hAnsi="Times New Roman"/>
          <w:i w:val="0"/>
          <w:sz w:val="22"/>
        </w:rPr>
        <w:t>https://reader.inference-arcade.com  |  https://github.com/milwrite/cloze-reader</w:t>
      </w:r>
    </w:p>
    <w:p/>
    <w:p>
      <w:pPr>
        <w:spacing w:line="480" w:lineRule="exact" w:after="0"/>
        <w:ind w:firstLine="720"/>
      </w:pPr>
      <w:r>
        <w:rPr>
          <w:rFonts w:ascii="Times New Roman" w:hAnsi="Times New Roman"/>
          <w:sz w:val="24"/>
        </w:rPr>
        <w:t>Introduced by Wilson Taylor in 1953 as a method for measuring reading comprehension, the cloze procedure has persisted as one of the most consequential assessment techniques to make the move from educational psychology into machine learning infrastructure. Taylor's famed publication in Journalism &amp; Mass Communication Quarterly departed from existing approaches to reading comprehension and assessment by proposing a methodology derived from Gestalt psychology's concept of "closure," the human tendency to complete incomplete familiar patterns (Taylor 1953). The procedure was simple and automatable. You delete words from a passage at regular intervals, ask readers to fill in the blanks, and interpret their success as a measure of their sensitivity to context, syntax, and semantic expectation. In turn, his approach recognized that human language processing operates holistically with readers supplying missing elements based on accumulated linguistic knowledge and the readerly capacity to reason contextually and infer the missing word in a blanked-out passage of chosen prose (Taylor 1953). And so fill in the blank was born.</w:t>
      </w:r>
    </w:p>
    <w:p>
      <w:pPr>
        <w:spacing w:line="480" w:lineRule="exact" w:after="0"/>
        <w:ind w:firstLine="720"/>
      </w:pPr>
      <w:r>
        <w:rPr>
          <w:rFonts w:ascii="Times New Roman" w:hAnsi="Times New Roman"/>
          <w:sz w:val="24"/>
        </w:rPr>
        <w:t xml:space="preserve">Seven decades after Taylor's publication, a structurally similar technique emerged at the heart of how contemporary large language models acquire their linguistic capabilities, though the purposes of this technique differ from Taylor's in ways that bear directly on the critical project this article undertakes. BERT (Bidirectional Encoder Representations from Transformers), introduced by researchers at Google in October 2018, adopted what its developers termed "masked language modeling," randomly occluding approximately 15% of tokens within sequences and training the model to predict the original vocabulary items based on surrounding context (Devlin et al. 2019). The architecture employed transformer encoder layers processing text bidirectionally, enabling each word position to attend to words both preceding and following, a design that distinguished it from earlier unidirectional language models that only accessed preceding context (Devlin et al. 2019; Alammar 2019). The resemblance to Taylor's cloze procedure is clear, since both involve removing linguistic material and evaluating the ability to restore it from contextual evidence, and BERT's adoption of this cloze-inspired objective proved effective, achieving state-of-the-art results on eleven NLP benchmarks and pushing the GLUE score to 80.5%, a 7.7 percentage-point improvement over prior approaches (Devlin et al. 2019). This convergence between educational assessment and machine learning is not coincidental, and tracing its logic helps clarify why a game that returns cloze tasks to human readers might serve as a critical instrument for examining what prediction-based training actually produces. Computational linguists and machine learning researchers recognized that the cloze framework provided a self-supervised learning objective that could leverage vast quantities of unannotated text (StackOverflow Blog 2025). Because the value of each masked word was already available in the original unannotated text, large-scale language models could be trained on billions of words without requiring expensive human labeling, a practical advantage over traditional supervised learning approaches (StackOverflow Blog 2025). The cloze-like task represented what researchers termed a "self-supervised learning" objective, wherein supervisory signals directing model learning were present within the data itself rather than requiring human annotation (StackOverflow Blog 2025). Yet the structural resemblance between Taylor's cloze procedure and masked language modeling conceals asymmetries that become visible when we attend to what each technique is designed to do and what it assumes about the systems it operates upon. Educational cloze tests assess an existing capacity in human readers, the synthesis of linguistic knowledge, world knowledge, and inferential skill that constitutes reading comprehension. The theoretical underpinnings of cloze testing rested on what researchers termed the "pragmatic expectancy grammar , " where test-takers employ the same linguistic prediction mechanisms and rule systems when completing cloze tasks as they would in any other authentic language comprehension scenario (Clozemaster 2026). This assumption suggested that cloze tests could measure not merely discrete vocabulary knowledge but integrated comprehension abilities, requiring readers to understand semantic relationships, grammatical constraints, discourse coherence, and contextual appropriateness simultaneously (Clozemaster 2026). Masked language modeling, by contrast, serves as a training objective that tunes a system's internal representations through gradient descent over billions of tokens, and the model does not "take" a cloze test in any pedagogical sense but is instead optimized to minimize prediction loss across massive corpora. When researchers describe language models as performing "fill-in-the-blank" tasks, they invoke a familiar educational metaphor that risks obscuring what these systems actually do. Empirical work comparing human and model cloze responses shows that structural similarity does not guarantee functional equivalence. Across recent studies, models systematically misalign with human response distributions and struggle with contextual integration across longer spans (PMC 2024; arXiv 2024; Xie et al. 2018). Detailed performance figures are deferred to the evidence section. This article examines a browser-based educational game called Cloze Reader (https://reader.inference-arcade.com) that probes the convergence between these twin histories by using a language model to generate cloze tasks that return to human readers as exercises in contextual induction. Developed as part of the CUNY AI Lab and the broader Inference Arcade initiative, Cloze Reader presents players with short passages from public-domain texts drawn from the Project Gutenberg corpus via the Hugging Face Datasets API, and players propose completions for missing words while consulting an embedded chat panel, powered by Google's Gemma-3-27B model, for guidance. The hints offer paraphrase and leading questions rather than answers, but the model's primary work happens earlier, when it selects which words to remove, and this selection process instantiates the recursive structure that makes the project a critical artifact rather than merely a pedagogical tool. The recursive structure of Cloze Reader becomes visible in its architecture, where word selection is delegated to the same class of language model whose training regime descended from the cloze procedure. The system prompts Gemma-3 to identify words according to heuristic instructions that translate pedagogical intent into language the model can act upon, and the following excerpt from the application's source code shows the prompt that governs word selection: Select ${count} ${level &amp;lt;= 2 ? 'easy' : level &amp;lt;= 4 ? 'medium' : 'challenging'} words from this passage. CRITICAL RULES: - ONLY select lowercase words (no proper nouns) - ONLY select words from the MIDDLE or END of the passage - Choose nouns, verbs, or adjectives - AVOID compound words - choose single, verifiable words with strong contextual salience - Return ONLY a JSON array like ["word1", "word2"] The prompt reveals how the system translates pedagogical goals into instructions that the model interprets through the statistical regularities of its training corpus rather than through explicit definitions, and this opacity is itself part of what the project stages for critical examination. These heuristic instructions ask the model to target words with high contextual weight, yet the model still interprets those instructions through statistical regularities in its training data rather than through formal definitions. The prompt further modulates difficulty through vocabulary complexity, requesting "easy vocabulary words" at early levels and "challenging words" at higher levels, while a validation layer filters the model's selections by length and presence in the passage, with a manual fallback that avoids function words if the AI response fails parsing. This architecture enacts a feedback loop that closes the circuit between educational assessment and machine learning in a way that exposes both the continuities and the gaps between human reading comprehension and statistical prediction. A model trained through large-scale contextual prediction, a descendant of the masked language modeling paradigm that BERT popularized, now generates cloze-like tasks that return to human readers as exercises in contextual induction, and the prompt that governs this generation functions as an interface between pedagogical intent and machine prediction, translating the designer's goals into language the model can act upon however it interprets that language. The Project Gutenberg corpus situates this feedback loop within a specific textual archive that predates the web-scale corpora on which contemporary language models train yet contributed to those corpora as digitized public-domain material. Over 70,000 public-domain e-books, filtered for high-quality narrative prose, supply the passages from which blanks are generated, and these texts include Shakespeare, nineteenth-century American oratory, and early twentieth-century fiction. When Gemma-3 selects words from a Melville passage, it draws on representations shaped partly by Melville's own prose, encountered during pre-training as statistical residue, and the historical distance between the texts and contemporary readers becomes legible in the difficulty of restoration: when a player struggles with a blank in Moby-Dick , the challenge reflects not just local syntactic constraints but the accumulated distance between nineteenth-century prose conventions and contemporary linguistic intuition. The game's difficulty system makes these dynamics playable by distributing challenge across two independent dimensions that correspond to different aspects of contextual reasoning. At levels one through five, a single blank per passage and generous hints that include word length, first letter, and last letter scaffold early encounters with the inferential demands of cloze completion. Levels six through ten introduce two blanks with reduced hint scaffolding that provides only the first letter. Level eleven and beyond present three blanks with minimal guidance. Vocabulary complexity scales independently of blank count: early levels request "easy" words from the model while later levels request "challenging" ones, and this two-dimensional difficulty curve distributes challenge across both the number of inferential tasks per passage and the sophistication of the words selected for those tasks. The hint system supports interpretive work without short-circuiting it, modeling a form of graduated scaffolding that encourages slow, deep reading rather than providing direct answers by default . The embedded chat panel, powered by Gemma-3-27B, paraphrases surrounding context, points to syntactic or semantic cues, and poses leading questions that direct attention to features of the passage that bear on the missing word. When a player consults the hint panel, they see one way of parsing the passage's contextual constraints, which may clarify their own thinking or may feel beside the point, and this variability itself becomes instructive about the difference between machine-generated guidance and human interpretive judgment. By dividing the cloze task between model and player, separating selection from interpretation, Cloze Reader holds apart what masked language modeling conflates and makes visible the asymmetry that the structural resemblance between educational cloze tests and machine learning tends to obscure. The model locates where context matters while the reader learns what context means, and this division stages rather than resolves the asymmetry between Taylor's cloze procedure, which assessed comprehension as a holistic capacity, and BERT's masked language modeling, which optimized prediction as a training objective. Cloze Reader returns a practice that migrated from educational assessment into machine learning infrastructure back to human readers as an invitation to read slowly and contextually. The article that follows traces the pedagogical and computational genealogies of the cloze procedure, examines empirical evidence documenting divergences between human and model performance on cloze tasks, and presents Cloze Reader's architectural and design decisions as a critical intervention into contemporary debates about AI literacy and the limits of prediction as a proxy for understanding. The argument is not that masked language modeling misappropriated an educational technique, nor that the cloze procedure anticipated neural network training, since the convergence is real and grounded in the shared insight that contextual prediction offers a window onto linguistic competence. But the purposes differ: Taylor wanted to measure comprehension while BERT's developers wanted to induce representations. Cloze Reader inherits both histories and uses game mechanics to hold them apart for examination, and what passes between model and player is a text, marked at positions that the model identifies through statistical inference, waiting to be read by a human who interprets context through something else entirely. References Alammar, J. (2019) 'The illustrated BERT, ELMo, and co.', jalammar.github.io . Available at: https://jalammar.github.io/illustrated-bert/ (Accessed: 2 February 2026). arXiv (2024) 'Language model divergence from human cloze expectations'. Available at: https://arxiv.org/html/2410.12057v2 (Accessed: 2 February 2026). Clozemaster (2026) 'Cloze test: Everything you need to know'. Available at: https://www.clozemaster.com/blog/cloze-test/ (Accessed: 2 February 2026). Devlin, J. et al. (2019) 'BERT: Pre-training of deep bidirectional transformers for language understanding', in Proceedings of NAACL-HLT 2019 . Minneapolis, MN: Association for Computational Linguistics, pp. 4171–4186. Available at: https://aclanthology.org/N19-1423.pdf PMC (2024) 'Comparing human and LLM cloze responses', PubMed Central . Available at: https://pmc.ncbi.nlm.nih.gov/articles/PMC11458034/ (Accessed: 2 February 2026). StackOverflow Blog (2025) 'How self-supervised learning revolutionized NLP and generative AI'. Available at: https://stackoverflow.blog/2025/04/28/how-self-supervised-language-revolutionized-natural-language-processing-and-gen-ai/ (Accessed: 2 February 2026). Taylor, W.L. (1953) '"Cloze procedure": A new tool for measuring readability', Journalism Quarterly , 30(4), pp. 415–433. Available at: https://journals.sagepub.com/doi/10.1177/107769905303000401 Xie, Q. et al. (2018) 'Large-scale cloze test dataset created by teachers', in Proceedings of EMNLP 2018 . Brussels: Association for Computational Linguistics, pp. 2344–2356. Available at: https://aclanthology.org/D18-1257/</w:t>
      </w:r>
    </w:p>
    <w:p>
      <w:pPr>
        <w:spacing w:before="320" w:after="320"/>
        <w:jc w:val="center"/>
      </w:pPr>
      <w:r>
        <w:rPr>
          <w:color w:val="AAAAAA"/>
          <w:sz w:val="20"/>
        </w:rPr>
        <w:t>────────────────────────────────────────</w:t>
      </w:r>
    </w:p>
    <w:p>
      <w:pPr>
        <w:spacing w:before="280" w:after="120"/>
        <w:ind w:firstLine="0"/>
      </w:pPr>
      <w:r>
        <w:rPr>
          <w:rFonts w:ascii="Times New Roman" w:hAnsi="Times New Roman"/>
          <w:b/>
          <w:sz w:val="28"/>
        </w:rPr>
        <w:t>Literature Review: Twin Histories</w:t>
      </w:r>
    </w:p>
    <w:p>
      <w:pPr>
        <w:spacing w:after="40"/>
        <w:ind w:firstLine="0"/>
      </w:pPr>
      <w:r>
        <w:rPr>
          <w:rFonts w:ascii="Times New Roman" w:hAnsi="Times New Roman"/>
          <w:i/>
          <w:sz w:val="22"/>
        </w:rPr>
        <w:t>Session 2 draft — pending approval</w:t>
      </w:r>
    </w:p>
    <w:p/>
    <w:p>
      <w:pPr>
        <w:spacing w:line="480" w:lineRule="exact" w:after="0"/>
        <w:ind w:firstLine="720"/>
      </w:pPr>
      <w:r>
        <w:rPr>
          <w:rFonts w:ascii="Times New Roman" w:hAnsi="Times New Roman"/>
          <w:sz w:val="24"/>
        </w:rPr>
        <w:t>Cloze Reader and the Twin Histories of Occlusion</w:t>
      </w:r>
    </w:p>
    <w:p>
      <w:pPr>
        <w:spacing w:before="200" w:after="80"/>
        <w:ind w:firstLine="0"/>
      </w:pPr>
      <w:r>
        <w:rPr>
          <w:rFonts w:ascii="Times New Roman" w:hAnsi="Times New Roman"/>
          <w:b/>
          <w:i/>
          <w:sz w:val="24"/>
        </w:rPr>
        <w:t>I. The Educational Genealogy of Cloze</w:t>
      </w:r>
    </w:p>
    <w:p>
      <w:pPr>
        <w:spacing w:line="480" w:lineRule="exact" w:after="0"/>
        <w:ind w:firstLine="720"/>
      </w:pPr>
      <w:r>
        <w:rPr>
          <w:rFonts w:ascii="Times New Roman" w:hAnsi="Times New Roman"/>
          <w:sz w:val="24"/>
        </w:rPr>
        <w:t>Wilson Taylor's 1953 procedure was formally simple: delete words from a passage at</w:t>
      </w:r>
    </w:p>
    <w:p>
      <w:pPr>
        <w:spacing w:line="480" w:lineRule="exact" w:after="0"/>
        <w:ind w:firstLine="720"/>
      </w:pPr>
      <w:r>
        <w:rPr>
          <w:rFonts w:ascii="Times New Roman" w:hAnsi="Times New Roman"/>
          <w:sz w:val="24"/>
        </w:rPr>
        <w:t>regular intervals and ask readers to supply the missing terms. Its theoretical stakes were</w:t>
      </w:r>
    </w:p>
    <w:p>
      <w:pPr>
        <w:spacing w:line="480" w:lineRule="exact" w:after="0"/>
        <w:ind w:firstLine="720"/>
      </w:pPr>
      <w:r>
        <w:rPr>
          <w:rFonts w:ascii="Times New Roman" w:hAnsi="Times New Roman"/>
          <w:sz w:val="24"/>
        </w:rPr>
        <w:t>larger. Taylor adapted the Gestalt principle of closure — the perceptual tendency to</w:t>
      </w:r>
    </w:p>
    <w:p>
      <w:pPr>
        <w:spacing w:line="480" w:lineRule="exact" w:after="0"/>
        <w:ind w:firstLine="720"/>
      </w:pPr>
      <w:r>
        <w:rPr>
          <w:rFonts w:ascii="Times New Roman" w:hAnsi="Times New Roman"/>
          <w:sz w:val="24"/>
        </w:rPr>
        <w:t>complete incomplete familiar patterns, described systematically by Koffka (1935) and</w:t>
      </w:r>
    </w:p>
    <w:p>
      <w:pPr>
        <w:spacing w:line="480" w:lineRule="exact" w:after="0"/>
        <w:ind w:firstLine="720"/>
      </w:pPr>
      <w:r>
        <w:rPr>
          <w:rFonts w:ascii="Times New Roman" w:hAnsi="Times New Roman"/>
          <w:sz w:val="24"/>
        </w:rPr>
        <w:t>rooted in the broader Gestalt program of Wertheimer, Köhler, and Koffka — as a framework</w:t>
      </w:r>
    </w:p>
    <w:p>
      <w:pPr>
        <w:spacing w:line="480" w:lineRule="exact" w:after="0"/>
        <w:ind w:firstLine="720"/>
      </w:pPr>
      <w:r>
        <w:rPr>
          <w:rFonts w:ascii="Times New Roman" w:hAnsi="Times New Roman"/>
          <w:sz w:val="24"/>
        </w:rPr>
        <w:t>for measuring reading comprehension holistically. Where prior readability instruments</w:t>
      </w:r>
    </w:p>
    <w:p>
      <w:pPr>
        <w:spacing w:line="480" w:lineRule="exact" w:after="0"/>
        <w:ind w:firstLine="720"/>
      </w:pPr>
      <w:r>
        <w:rPr>
          <w:rFonts w:ascii="Times New Roman" w:hAnsi="Times New Roman"/>
          <w:sz w:val="24"/>
        </w:rPr>
        <w:t>counted syllables and sentence lengths, the cloze procedure tested whether readers could</w:t>
      </w:r>
    </w:p>
    <w:p>
      <w:pPr>
        <w:spacing w:line="480" w:lineRule="exact" w:after="0"/>
        <w:ind w:firstLine="720"/>
      </w:pPr>
      <w:r>
        <w:rPr>
          <w:rFonts w:ascii="Times New Roman" w:hAnsi="Times New Roman"/>
          <w:sz w:val="24"/>
        </w:rPr>
        <w:t>integrate semantic, syntactic, and contextual knowledge simultaneously (Taylor 1953).</w:t>
      </w:r>
    </w:p>
    <w:p>
      <w:pPr>
        <w:spacing w:line="480" w:lineRule="exact" w:after="0"/>
        <w:ind w:firstLine="720"/>
      </w:pPr>
      <w:r>
        <w:rPr>
          <w:rFonts w:ascii="Times New Roman" w:hAnsi="Times New Roman"/>
          <w:sz w:val="24"/>
        </w:rPr>
        <w:t>Subsequent research developed both the theoretical account and the practical scope of</w:t>
      </w:r>
    </w:p>
    <w:p>
      <w:pPr>
        <w:spacing w:line="480" w:lineRule="exact" w:after="0"/>
        <w:ind w:firstLine="720"/>
      </w:pPr>
      <w:r>
        <w:rPr>
          <w:rFonts w:ascii="Times New Roman" w:hAnsi="Times New Roman"/>
          <w:sz w:val="24"/>
        </w:rPr>
        <w:t>cloze. Oller (1979) formalized the mechanism underlying cloze performance as "pragmatic</w:t>
      </w:r>
    </w:p>
    <w:p>
      <w:pPr>
        <w:spacing w:line="480" w:lineRule="exact" w:after="0"/>
        <w:ind w:firstLine="720"/>
      </w:pPr>
      <w:r>
        <w:rPr>
          <w:rFonts w:ascii="Times New Roman" w:hAnsi="Times New Roman"/>
          <w:sz w:val="24"/>
        </w:rPr>
        <w:t>expectancy grammar": the system of linguistic knowledge that allows readers and speakers</w:t>
      </w:r>
    </w:p>
    <w:p>
      <w:pPr>
        <w:spacing w:line="480" w:lineRule="exact" w:after="0"/>
        <w:ind w:firstLine="720"/>
      </w:pPr>
      <w:r>
        <w:rPr>
          <w:rFonts w:ascii="Times New Roman" w:hAnsi="Times New Roman"/>
          <w:sz w:val="24"/>
        </w:rPr>
        <w:t>to anticipate what can and cannot come next in a well-formed utterance. On this account,</w:t>
      </w:r>
    </w:p>
    <w:p>
      <w:pPr>
        <w:spacing w:line="480" w:lineRule="exact" w:after="0"/>
        <w:ind w:firstLine="720"/>
      </w:pPr>
      <w:r>
        <w:rPr>
          <w:rFonts w:ascii="Times New Roman" w:hAnsi="Times New Roman"/>
          <w:sz w:val="24"/>
        </w:rPr>
        <w:t>cloze tests assess the same integrated competence deployed in ordinary comprehension —</w:t>
      </w:r>
    </w:p>
    <w:p>
      <w:pPr>
        <w:spacing w:line="480" w:lineRule="exact" w:after="0"/>
        <w:ind w:firstLine="720"/>
      </w:pPr>
      <w:r>
        <w:rPr>
          <w:rFonts w:ascii="Times New Roman" w:hAnsi="Times New Roman"/>
          <w:sz w:val="24"/>
        </w:rPr>
        <w:t>they do not measure a discrete subskill but activate the whole. This theoretical move was</w:t>
      </w:r>
    </w:p>
    <w:p>
      <w:pPr>
        <w:spacing w:line="480" w:lineRule="exact" w:after="0"/>
        <w:ind w:firstLine="720"/>
      </w:pPr>
      <w:r>
        <w:rPr>
          <w:rFonts w:ascii="Times New Roman" w:hAnsi="Times New Roman"/>
          <w:sz w:val="24"/>
        </w:rPr>
        <w:t>significant because it repositioned cloze from a readability metric to a general index of</w:t>
      </w:r>
    </w:p>
    <w:p>
      <w:pPr>
        <w:spacing w:line="480" w:lineRule="exact" w:after="0"/>
        <w:ind w:firstLine="720"/>
      </w:pPr>
      <w:r>
        <w:rPr>
          <w:rFonts w:ascii="Times New Roman" w:hAnsi="Times New Roman"/>
          <w:sz w:val="24"/>
        </w:rPr>
        <w:t>linguistic competence, with implications for second-language acquisition research that</w:t>
      </w:r>
    </w:p>
    <w:p>
      <w:pPr>
        <w:spacing w:line="480" w:lineRule="exact" w:after="0"/>
        <w:ind w:firstLine="720"/>
      </w:pPr>
      <w:r>
        <w:rPr>
          <w:rFonts w:ascii="Times New Roman" w:hAnsi="Times New Roman"/>
          <w:sz w:val="24"/>
        </w:rPr>
        <w:t>would follow (Abraham and Chapelle 1992).</w:t>
      </w:r>
    </w:p>
    <w:p>
      <w:pPr>
        <w:spacing w:line="480" w:lineRule="exact" w:after="0"/>
        <w:ind w:firstLine="720"/>
      </w:pPr>
      <w:r>
        <w:rPr>
          <w:rFonts w:ascii="Times New Roman" w:hAnsi="Times New Roman"/>
          <w:sz w:val="24"/>
        </w:rPr>
        <w:t>Two debates complicated the procedure's adoption as a universal instrument. The first</w:t>
      </w:r>
    </w:p>
    <w:p>
      <w:pPr>
        <w:spacing w:line="480" w:lineRule="exact" w:after="0"/>
        <w:ind w:firstLine="720"/>
      </w:pPr>
      <w:r>
        <w:rPr>
          <w:rFonts w:ascii="Times New Roman" w:hAnsi="Times New Roman"/>
          <w:sz w:val="24"/>
        </w:rPr>
        <w:t>concerned scoring method: researchers disputed whether only the exact original word</w:t>
      </w:r>
    </w:p>
    <w:p>
      <w:pPr>
        <w:spacing w:line="480" w:lineRule="exact" w:after="0"/>
        <w:ind w:firstLine="720"/>
      </w:pPr>
      <w:r>
        <w:rPr>
          <w:rFonts w:ascii="Times New Roman" w:hAnsi="Times New Roman"/>
          <w:sz w:val="24"/>
        </w:rPr>
        <w:t>should be accepted or whether acceptable synonyms warranted credit. Exact-word scoring</w:t>
      </w:r>
    </w:p>
    <w:p>
      <w:pPr>
        <w:spacing w:line="480" w:lineRule="exact" w:after="0"/>
        <w:ind w:firstLine="720"/>
      </w:pPr>
      <w:r>
        <w:rPr>
          <w:rFonts w:ascii="Times New Roman" w:hAnsi="Times New Roman"/>
          <w:sz w:val="24"/>
        </w:rPr>
        <w:t>produces higher inter-rater reliability and correlates well with other comprehension</w:t>
      </w:r>
    </w:p>
    <w:p>
      <w:pPr>
        <w:spacing w:line="480" w:lineRule="exact" w:after="0"/>
        <w:ind w:firstLine="720"/>
      </w:pPr>
      <w:r>
        <w:rPr>
          <w:rFonts w:ascii="Times New Roman" w:hAnsi="Times New Roman"/>
          <w:sz w:val="24"/>
        </w:rPr>
        <w:t>measures; synonym scoring better reflects the inferential flexibility that Oller's</w:t>
      </w:r>
    </w:p>
    <w:p>
      <w:pPr>
        <w:spacing w:line="480" w:lineRule="exact" w:after="0"/>
        <w:ind w:firstLine="720"/>
      </w:pPr>
      <w:r>
        <w:rPr>
          <w:rFonts w:ascii="Times New Roman" w:hAnsi="Times New Roman"/>
          <w:sz w:val="24"/>
        </w:rPr>
        <w:t>theoretical account predicts (Jongsma 1980). Neither resolves neatly, and the dispute</w:t>
      </w:r>
    </w:p>
    <w:p>
      <w:pPr>
        <w:spacing w:line="480" w:lineRule="exact" w:after="0"/>
        <w:ind w:firstLine="720"/>
      </w:pPr>
      <w:r>
        <w:rPr>
          <w:rFonts w:ascii="Times New Roman" w:hAnsi="Times New Roman"/>
          <w:sz w:val="24"/>
        </w:rPr>
        <w:t>surfaces a genuine ambiguity: cloze tests measure prediction of the original author's</w:t>
      </w:r>
    </w:p>
    <w:p>
      <w:pPr>
        <w:spacing w:line="480" w:lineRule="exact" w:after="0"/>
        <w:ind w:firstLine="720"/>
      </w:pPr>
      <w:r>
        <w:rPr>
          <w:rFonts w:ascii="Times New Roman" w:hAnsi="Times New Roman"/>
          <w:sz w:val="24"/>
        </w:rPr>
        <w:t>word choice as much as they measure contextual comprehension. A reader who supplies a</w:t>
      </w:r>
    </w:p>
    <w:p>
      <w:pPr>
        <w:spacing w:line="480" w:lineRule="exact" w:after="0"/>
        <w:ind w:firstLine="720"/>
      </w:pPr>
      <w:r>
        <w:rPr>
          <w:rFonts w:ascii="Times New Roman" w:hAnsi="Times New Roman"/>
          <w:sz w:val="24"/>
        </w:rPr>
        <w:t>semantically equivalent term has demonstrated comprehension; the procedure marks them</w:t>
      </w:r>
    </w:p>
    <w:p>
      <w:pPr>
        <w:spacing w:line="480" w:lineRule="exact" w:after="0"/>
        <w:ind w:firstLine="720"/>
      </w:pPr>
      <w:r>
        <w:rPr>
          <w:rFonts w:ascii="Times New Roman" w:hAnsi="Times New Roman"/>
          <w:sz w:val="24"/>
        </w:rPr>
        <w:t>wrong regardless.</w:t>
      </w:r>
    </w:p>
    <w:p>
      <w:pPr>
        <w:spacing w:line="480" w:lineRule="exact" w:after="0"/>
        <w:ind w:firstLine="720"/>
      </w:pPr>
      <w:r>
        <w:rPr>
          <w:rFonts w:ascii="Times New Roman" w:hAnsi="Times New Roman"/>
          <w:sz w:val="24"/>
        </w:rPr>
        <w:t>The second debate concerned deletion method. Taylor's fixed-ratio procedure (every fifth</w:t>
      </w:r>
    </w:p>
    <w:p>
      <w:pPr>
        <w:spacing w:line="480" w:lineRule="exact" w:after="0"/>
        <w:ind w:firstLine="720"/>
      </w:pPr>
      <w:r>
        <w:rPr>
          <w:rFonts w:ascii="Times New Roman" w:hAnsi="Times New Roman"/>
          <w:sz w:val="24"/>
        </w:rPr>
        <w:t>or seventh word) deletes without regard to the semantic weight of the deleted item.</w:t>
      </w:r>
    </w:p>
    <w:p>
      <w:pPr>
        <w:spacing w:line="480" w:lineRule="exact" w:after="0"/>
        <w:ind w:firstLine="720"/>
      </w:pPr>
      <w:r>
        <w:rPr>
          <w:rFonts w:ascii="Times New Roman" w:hAnsi="Times New Roman"/>
          <w:sz w:val="24"/>
        </w:rPr>
        <w:t>Bachman (1985) argued for rational deletion — selecting words based on their inferential</w:t>
      </w:r>
    </w:p>
    <w:p>
      <w:pPr>
        <w:spacing w:line="480" w:lineRule="exact" w:after="0"/>
        <w:ind w:firstLine="720"/>
      </w:pPr>
      <w:r>
        <w:rPr>
          <w:rFonts w:ascii="Times New Roman" w:hAnsi="Times New Roman"/>
          <w:sz w:val="24"/>
        </w:rPr>
        <w:t>salience — on the grounds that fixed-ratio deletion conflates easy and difficult</w:t>
      </w:r>
    </w:p>
    <w:p>
      <w:pPr>
        <w:spacing w:line="480" w:lineRule="exact" w:after="0"/>
        <w:ind w:firstLine="720"/>
      </w:pPr>
      <w:r>
        <w:rPr>
          <w:rFonts w:ascii="Times New Roman" w:hAnsi="Times New Roman"/>
          <w:sz w:val="24"/>
        </w:rPr>
        <w:t>predictions, flattening the difficulty gradient the procedure is meant to reveal. Cloze</w:t>
      </w:r>
    </w:p>
    <w:p>
      <w:pPr>
        <w:spacing w:line="480" w:lineRule="exact" w:after="0"/>
        <w:ind w:firstLine="720"/>
      </w:pPr>
      <w:r>
        <w:rPr>
          <w:rFonts w:ascii="Times New Roman" w:hAnsi="Times New Roman"/>
          <w:sz w:val="24"/>
        </w:rPr>
        <w:t>Reader's architecture resolves this debate by design: word selection is delegated to a</w:t>
      </w:r>
    </w:p>
    <w:p>
      <w:pPr>
        <w:spacing w:line="480" w:lineRule="exact" w:after="0"/>
        <w:ind w:firstLine="720"/>
      </w:pPr>
      <w:r>
        <w:rPr>
          <w:rFonts w:ascii="Times New Roman" w:hAnsi="Times New Roman"/>
          <w:sz w:val="24"/>
        </w:rPr>
        <w:t>language model, which chooses items by heuristic instruction rather than by fixed interval</w:t>
      </w:r>
    </w:p>
    <w:p>
      <w:pPr>
        <w:spacing w:line="480" w:lineRule="exact" w:after="0"/>
        <w:ind w:firstLine="720"/>
      </w:pPr>
      <w:r>
        <w:rPr>
          <w:rFonts w:ascii="Times New Roman" w:hAnsi="Times New Roman"/>
          <w:sz w:val="24"/>
        </w:rPr>
        <w:t>or researcher judgment. The implications of that design choice are the paper's primary</w:t>
      </w:r>
    </w:p>
    <w:p>
      <w:pPr>
        <w:spacing w:line="480" w:lineRule="exact" w:after="0"/>
        <w:ind w:firstLine="720"/>
      </w:pPr>
      <w:r>
        <w:rPr>
          <w:rFonts w:ascii="Times New Roman" w:hAnsi="Times New Roman"/>
          <w:sz w:val="24"/>
        </w:rPr>
        <w:t>subject.</w:t>
      </w:r>
    </w:p>
    <w:p>
      <w:pPr>
        <w:spacing w:before="200" w:after="80"/>
        <w:ind w:firstLine="0"/>
      </w:pPr>
      <w:r>
        <w:rPr>
          <w:rFonts w:ascii="Times New Roman" w:hAnsi="Times New Roman"/>
          <w:b/>
          <w:i/>
          <w:sz w:val="24"/>
        </w:rPr>
        <w:t>II. The Machine Learning Genealogy</w:t>
      </w:r>
    </w:p>
    <w:p>
      <w:pPr>
        <w:spacing w:line="480" w:lineRule="exact" w:after="0"/>
        <w:ind w:firstLine="720"/>
      </w:pPr>
      <w:r>
        <w:rPr>
          <w:rFonts w:ascii="Times New Roman" w:hAnsi="Times New Roman"/>
          <w:sz w:val="24"/>
        </w:rPr>
        <w:t>The structural resemblance between cloze testing and masked language modeling is not</w:t>
      </w:r>
    </w:p>
    <w:p>
      <w:pPr>
        <w:spacing w:line="480" w:lineRule="exact" w:after="0"/>
        <w:ind w:firstLine="720"/>
      </w:pPr>
      <w:r>
        <w:rPr>
          <w:rFonts w:ascii="Times New Roman" w:hAnsi="Times New Roman"/>
          <w:sz w:val="24"/>
        </w:rPr>
        <w:t>accidental. Both descend from the distributional hypothesis — the claim, formalized by</w:t>
      </w:r>
    </w:p>
    <w:p>
      <w:pPr>
        <w:spacing w:line="480" w:lineRule="exact" w:after="0"/>
        <w:ind w:firstLine="720"/>
      </w:pPr>
      <w:r>
        <w:rPr>
          <w:rFonts w:ascii="Times New Roman" w:hAnsi="Times New Roman"/>
          <w:sz w:val="24"/>
        </w:rPr>
        <w:t>Harris (1952) and made memorable by Firth (1957), that words occurring in similar</w:t>
      </w:r>
    </w:p>
    <w:p>
      <w:pPr>
        <w:spacing w:line="480" w:lineRule="exact" w:after="0"/>
        <w:ind w:firstLine="720"/>
      </w:pPr>
      <w:r>
        <w:rPr>
          <w:rFonts w:ascii="Times New Roman" w:hAnsi="Times New Roman"/>
          <w:sz w:val="24"/>
        </w:rPr>
        <w:t>contexts carry similar meanings. Harris proposed distributional analysis as a method for</w:t>
      </w:r>
    </w:p>
    <w:p>
      <w:pPr>
        <w:spacing w:line="480" w:lineRule="exact" w:after="0"/>
        <w:ind w:firstLine="720"/>
      </w:pPr>
      <w:r>
        <w:rPr>
          <w:rFonts w:ascii="Times New Roman" w:hAnsi="Times New Roman"/>
          <w:sz w:val="24"/>
        </w:rPr>
        <w:t>discovering linguistic structure from raw text; Firth's formulation ("you shall know a</w:t>
      </w:r>
    </w:p>
    <w:p>
      <w:pPr>
        <w:spacing w:line="480" w:lineRule="exact" w:after="0"/>
        <w:ind w:firstLine="720"/>
      </w:pPr>
      <w:r>
        <w:rPr>
          <w:rFonts w:ascii="Times New Roman" w:hAnsi="Times New Roman"/>
          <w:sz w:val="24"/>
        </w:rPr>
        <w:t>word by the company it keeps") became the informal charter of computational semantics. The</w:t>
      </w:r>
    </w:p>
    <w:p>
      <w:pPr>
        <w:spacing w:line="480" w:lineRule="exact" w:after="0"/>
        <w:ind w:firstLine="720"/>
      </w:pPr>
      <w:r>
        <w:rPr>
          <w:rFonts w:ascii="Times New Roman" w:hAnsi="Times New Roman"/>
          <w:sz w:val="24"/>
        </w:rPr>
        <w:t>contextual prediction insight that Taylor applied to human readers is the same insight</w:t>
      </w:r>
    </w:p>
    <w:p>
      <w:pPr>
        <w:spacing w:line="480" w:lineRule="exact" w:after="0"/>
        <w:ind w:firstLine="720"/>
      </w:pPr>
      <w:r>
        <w:rPr>
          <w:rFonts w:ascii="Times New Roman" w:hAnsi="Times New Roman"/>
          <w:sz w:val="24"/>
        </w:rPr>
        <w:t>that word embedding models would eventually formalize as a training objective.</w:t>
      </w:r>
    </w:p>
    <w:p>
      <w:pPr>
        <w:spacing w:line="480" w:lineRule="exact" w:after="0"/>
        <w:ind w:firstLine="720"/>
      </w:pPr>
      <w:r>
        <w:rPr>
          <w:rFonts w:ascii="Times New Roman" w:hAnsi="Times New Roman"/>
          <w:sz w:val="24"/>
        </w:rPr>
        <w:t>The technical trajectory from that insight to masked language modeling runs through</w:t>
      </w:r>
    </w:p>
    <w:p>
      <w:pPr>
        <w:spacing w:line="480" w:lineRule="exact" w:after="0"/>
        <w:ind w:firstLine="720"/>
      </w:pPr>
      <w:r>
        <w:rPr>
          <w:rFonts w:ascii="Times New Roman" w:hAnsi="Times New Roman"/>
          <w:sz w:val="24"/>
        </w:rPr>
        <w:t>distributional semantics, neural word embeddings, and contextualized representations.</w:t>
      </w:r>
    </w:p>
    <w:p>
      <w:pPr>
        <w:spacing w:line="480" w:lineRule="exact" w:after="0"/>
        <w:ind w:firstLine="720"/>
      </w:pPr>
      <w:r>
        <w:rPr>
          <w:rFonts w:ascii="Times New Roman" w:hAnsi="Times New Roman"/>
          <w:sz w:val="24"/>
        </w:rPr>
        <w:t>Mikolov et al. (2013) demonstrated that word embeddings trained on shallow prediction</w:t>
      </w:r>
    </w:p>
    <w:p>
      <w:pPr>
        <w:spacing w:line="480" w:lineRule="exact" w:after="0"/>
        <w:ind w:firstLine="720"/>
      </w:pPr>
      <w:r>
        <w:rPr>
          <w:rFonts w:ascii="Times New Roman" w:hAnsi="Times New Roman"/>
          <w:sz w:val="24"/>
        </w:rPr>
        <w:t>objectives encoded semantic and syntactic regularities at scale. The limitation of such</w:t>
      </w:r>
    </w:p>
    <w:p>
      <w:pPr>
        <w:spacing w:line="480" w:lineRule="exact" w:after="0"/>
        <w:ind w:firstLine="720"/>
      </w:pPr>
      <w:r>
        <w:rPr>
          <w:rFonts w:ascii="Times New Roman" w:hAnsi="Times New Roman"/>
          <w:sz w:val="24"/>
        </w:rPr>
        <w:t>representations was context-independence: each word received a single vector regardless</w:t>
      </w:r>
    </w:p>
    <w:p>
      <w:pPr>
        <w:spacing w:line="480" w:lineRule="exact" w:after="0"/>
        <w:ind w:firstLine="720"/>
      </w:pPr>
      <w:r>
        <w:rPr>
          <w:rFonts w:ascii="Times New Roman" w:hAnsi="Times New Roman"/>
          <w:sz w:val="24"/>
        </w:rPr>
        <w:t>of its usage in a specific sentence. Peters et al. (2018) addressed this with ELMo</w:t>
      </w:r>
    </w:p>
    <w:p>
      <w:pPr>
        <w:spacing w:line="480" w:lineRule="exact" w:after="0"/>
        <w:ind w:firstLine="720"/>
      </w:pPr>
      <w:r>
        <w:rPr>
          <w:rFonts w:ascii="Times New Roman" w:hAnsi="Times New Roman"/>
          <w:sz w:val="24"/>
        </w:rPr>
        <w:t>(Embeddings from Language Models), which generated contextualized representations via</w:t>
      </w:r>
    </w:p>
    <w:p>
      <w:pPr>
        <w:spacing w:line="480" w:lineRule="exact" w:after="0"/>
        <w:ind w:firstLine="720"/>
      </w:pPr>
      <w:r>
        <w:rPr>
          <w:rFonts w:ascii="Times New Roman" w:hAnsi="Times New Roman"/>
          <w:sz w:val="24"/>
        </w:rPr>
        <w:t>bidirectional LSTM language modeling — forward and backward passes trained separately,</w:t>
      </w:r>
    </w:p>
    <w:p>
      <w:pPr>
        <w:spacing w:line="480" w:lineRule="exact" w:after="0"/>
        <w:ind w:firstLine="720"/>
      </w:pPr>
      <w:r>
        <w:rPr>
          <w:rFonts w:ascii="Times New Roman" w:hAnsi="Times New Roman"/>
          <w:sz w:val="24"/>
        </w:rPr>
        <w:t>then concatenated. ELMo's representations improved downstream performance across a range</w:t>
      </w:r>
    </w:p>
    <w:p>
      <w:pPr>
        <w:spacing w:line="480" w:lineRule="exact" w:after="0"/>
        <w:ind w:firstLine="720"/>
      </w:pPr>
      <w:r>
        <w:rPr>
          <w:rFonts w:ascii="Times New Roman" w:hAnsi="Times New Roman"/>
          <w:sz w:val="24"/>
        </w:rPr>
        <w:t>of NLP benchmarks and established that context-sensitive encoding mattered.</w:t>
      </w:r>
    </w:p>
    <w:p>
      <w:pPr>
        <w:spacing w:line="480" w:lineRule="exact" w:after="0"/>
        <w:ind w:firstLine="720"/>
      </w:pPr>
      <w:r>
        <w:rPr>
          <w:rFonts w:ascii="Times New Roman" w:hAnsi="Times New Roman"/>
          <w:sz w:val="24"/>
        </w:rPr>
        <w:t>BERT (Devlin et al. 2019) extended ELMo's bidirectionality by training on masked tokens</w:t>
      </w:r>
    </w:p>
    <w:p>
      <w:pPr>
        <w:spacing w:line="480" w:lineRule="exact" w:after="0"/>
        <w:ind w:firstLine="720"/>
      </w:pPr>
      <w:r>
        <w:rPr>
          <w:rFonts w:ascii="Times New Roman" w:hAnsi="Times New Roman"/>
          <w:sz w:val="24"/>
        </w:rPr>
        <w:t>within a single joint model rather than concatenating two directional passes. Where ELMo's</w:t>
      </w:r>
    </w:p>
    <w:p>
      <w:pPr>
        <w:spacing w:line="480" w:lineRule="exact" w:after="0"/>
        <w:ind w:firstLine="720"/>
      </w:pPr>
      <w:r>
        <w:rPr>
          <w:rFonts w:ascii="Times New Roman" w:hAnsi="Times New Roman"/>
          <w:sz w:val="24"/>
        </w:rPr>
        <w:t>bidirectionality was shallow — each direction trained independently — BERT's transformer</w:t>
      </w:r>
    </w:p>
    <w:p>
      <w:pPr>
        <w:spacing w:line="480" w:lineRule="exact" w:after="0"/>
        <w:ind w:firstLine="720"/>
      </w:pPr>
      <w:r>
        <w:rPr>
          <w:rFonts w:ascii="Times New Roman" w:hAnsi="Times New Roman"/>
          <w:sz w:val="24"/>
        </w:rPr>
        <w:t>encoder architecture allowed every token position to attend to all other positions</w:t>
      </w:r>
    </w:p>
    <w:p>
      <w:pPr>
        <w:spacing w:line="480" w:lineRule="exact" w:after="0"/>
        <w:ind w:firstLine="720"/>
      </w:pPr>
      <w:r>
        <w:rPr>
          <w:rFonts w:ascii="Times New Roman" w:hAnsi="Times New Roman"/>
          <w:sz w:val="24"/>
        </w:rPr>
        <w:t>simultaneously. The masked language modeling objective made this training feasible as a</w:t>
      </w:r>
    </w:p>
    <w:p>
      <w:pPr>
        <w:spacing w:line="480" w:lineRule="exact" w:after="0"/>
        <w:ind w:firstLine="720"/>
      </w:pPr>
      <w:r>
        <w:rPr>
          <w:rFonts w:ascii="Times New Roman" w:hAnsi="Times New Roman"/>
          <w:sz w:val="24"/>
        </w:rPr>
        <w:t>self-supervised task: the supervisory signal was already present in unannotated text, and</w:t>
      </w:r>
    </w:p>
    <w:p>
      <w:pPr>
        <w:spacing w:line="480" w:lineRule="exact" w:after="0"/>
        <w:ind w:firstLine="720"/>
      </w:pPr>
      <w:r>
        <w:rPr>
          <w:rFonts w:ascii="Times New Roman" w:hAnsi="Times New Roman"/>
          <w:sz w:val="24"/>
        </w:rPr>
        <w:t>the scale of available text made large-parameter training viable (Liu et al. 2021). BERT's</w:t>
      </w:r>
    </w:p>
    <w:p>
      <w:pPr>
        <w:spacing w:line="480" w:lineRule="exact" w:after="0"/>
        <w:ind w:firstLine="720"/>
      </w:pPr>
      <w:r>
        <w:rPr>
          <w:rFonts w:ascii="Times New Roman" w:hAnsi="Times New Roman"/>
          <w:sz w:val="24"/>
        </w:rPr>
        <w:t>state-of-the-art results on eleven NLP benchmarks established masked language modeling as</w:t>
      </w:r>
    </w:p>
    <w:p>
      <w:pPr>
        <w:spacing w:line="480" w:lineRule="exact" w:after="0"/>
        <w:ind w:firstLine="720"/>
      </w:pPr>
      <w:r>
        <w:rPr>
          <w:rFonts w:ascii="Times New Roman" w:hAnsi="Times New Roman"/>
          <w:sz w:val="24"/>
        </w:rPr>
        <w:t>the dominant pretraining paradigm, and the paradigm has persisted through subsequent</w:t>
      </w:r>
    </w:p>
    <w:p>
      <w:pPr>
        <w:spacing w:line="480" w:lineRule="exact" w:after="0"/>
        <w:ind w:firstLine="720"/>
      </w:pPr>
      <w:r>
        <w:rPr>
          <w:rFonts w:ascii="Times New Roman" w:hAnsi="Times New Roman"/>
          <w:sz w:val="24"/>
        </w:rPr>
        <w:t>variants (RoBERTa, ALBERT, DistilBERT) that modify implementation details without</w:t>
      </w:r>
    </w:p>
    <w:p>
      <w:pPr>
        <w:spacing w:line="480" w:lineRule="exact" w:after="0"/>
        <w:ind w:firstLine="720"/>
      </w:pPr>
      <w:r>
        <w:rPr>
          <w:rFonts w:ascii="Times New Roman" w:hAnsi="Times New Roman"/>
          <w:sz w:val="24"/>
        </w:rPr>
        <w:t>abandoning the core masked-prediction objective.</w:t>
      </w:r>
    </w:p>
    <w:p>
      <w:pPr>
        <w:spacing w:before="200" w:after="80"/>
        <w:ind w:firstLine="0"/>
      </w:pPr>
      <w:r>
        <w:rPr>
          <w:rFonts w:ascii="Times New Roman" w:hAnsi="Times New Roman"/>
          <w:b/>
          <w:i/>
          <w:sz w:val="24"/>
        </w:rPr>
        <w:t>III. Continuity and Asymmetry</w:t>
      </w:r>
    </w:p>
    <w:p>
      <w:pPr>
        <w:spacing w:line="480" w:lineRule="exact" w:after="0"/>
        <w:ind w:firstLine="720"/>
      </w:pPr>
      <w:r>
        <w:rPr>
          <w:rFonts w:ascii="Times New Roman" w:hAnsi="Times New Roman"/>
          <w:sz w:val="24"/>
        </w:rPr>
        <w:t>Both histories share a structural premise: that contextual prediction is a meaningful</w:t>
      </w:r>
    </w:p>
    <w:p>
      <w:pPr>
        <w:spacing w:line="480" w:lineRule="exact" w:after="0"/>
        <w:ind w:firstLine="720"/>
      </w:pPr>
      <w:r>
        <w:rPr>
          <w:rFonts w:ascii="Times New Roman" w:hAnsi="Times New Roman"/>
          <w:sz w:val="24"/>
        </w:rPr>
        <w:t>index of linguistic competence. Taylor operationalized that premise as an assessment</w:t>
      </w:r>
    </w:p>
    <w:p>
      <w:pPr>
        <w:spacing w:line="480" w:lineRule="exact" w:after="0"/>
        <w:ind w:firstLine="720"/>
      </w:pPr>
      <w:r>
        <w:rPr>
          <w:rFonts w:ascii="Times New Roman" w:hAnsi="Times New Roman"/>
          <w:sz w:val="24"/>
        </w:rPr>
        <w:t>instrument. BERT's developers operationalized it as a training objective. The two</w:t>
      </w:r>
    </w:p>
    <w:p>
      <w:pPr>
        <w:spacing w:line="480" w:lineRule="exact" w:after="0"/>
        <w:ind w:firstLine="720"/>
      </w:pPr>
      <w:r>
        <w:rPr>
          <w:rFonts w:ascii="Times New Roman" w:hAnsi="Times New Roman"/>
          <w:sz w:val="24"/>
        </w:rPr>
        <w:t>applications differ in what they treat as the system under examination — human readers in</w:t>
      </w:r>
    </w:p>
    <w:p>
      <w:pPr>
        <w:spacing w:line="480" w:lineRule="exact" w:after="0"/>
        <w:ind w:firstLine="720"/>
      </w:pPr>
      <w:r>
        <w:rPr>
          <w:rFonts w:ascii="Times New Roman" w:hAnsi="Times New Roman"/>
          <w:sz w:val="24"/>
        </w:rPr>
        <w:t>the first case, neural parameters in the second — and in what the procedure is meant to</w:t>
      </w:r>
    </w:p>
    <w:p>
      <w:pPr>
        <w:spacing w:line="480" w:lineRule="exact" w:after="0"/>
        <w:ind w:firstLine="720"/>
      </w:pPr>
      <w:r>
        <w:rPr>
          <w:rFonts w:ascii="Times New Roman" w:hAnsi="Times New Roman"/>
          <w:sz w:val="24"/>
        </w:rPr>
        <w:t>produce: a measurement of existing capacity versus an induction of new representations.</w:t>
      </w:r>
    </w:p>
    <w:p>
      <w:pPr>
        <w:spacing w:line="480" w:lineRule="exact" w:after="0"/>
        <w:ind w:firstLine="720"/>
      </w:pPr>
      <w:r>
        <w:rPr>
          <w:rFonts w:ascii="Times New Roman" w:hAnsi="Times New Roman"/>
          <w:sz w:val="24"/>
        </w:rPr>
        <w:t>Cloze Reader makes that difference playable by routing the model's output back to a human</w:t>
      </w:r>
    </w:p>
    <w:p>
      <w:pPr>
        <w:spacing w:line="480" w:lineRule="exact" w:after="0"/>
        <w:ind w:firstLine="720"/>
      </w:pPr>
      <w:r>
        <w:rPr>
          <w:rFonts w:ascii="Times New Roman" w:hAnsi="Times New Roman"/>
          <w:sz w:val="24"/>
        </w:rPr>
        <w:t>reader as a task, placing the model and the reader on either side of the same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