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pPr>
      <w:r>
        <w:rPr>
          <w:rFonts w:ascii="Times New Roman" w:hAnsi="Times New Roman"/>
          <w:b/>
          <w:sz w:val="36"/>
        </w:rPr>
        <w:t>Cloze Reading and Twin Histories of Occlusion</w:t>
      </w:r>
    </w:p>
    <w:p>
      <w:pPr>
        <w:spacing w:after="40"/>
        <w:ind w:firstLine="0"/>
      </w:pPr>
      <w:r>
        <w:rPr>
          <w:rFonts w:ascii="Times New Roman" w:hAnsi="Times New Roman"/>
          <w:i w:val="0"/>
          <w:sz w:val="22"/>
        </w:rPr>
        <w:t>Zach Muhlbauer</w:t>
      </w:r>
    </w:p>
    <w:p>
      <w:pPr>
        <w:spacing w:after="40"/>
        <w:ind w:firstLine="0"/>
      </w:pPr>
      <w:r>
        <w:rPr>
          <w:rFonts w:ascii="Times New Roman" w:hAnsi="Times New Roman"/>
          <w:i/>
          <w:sz w:val="22"/>
        </w:rPr>
        <w:t>The Graduate Center, City University of New York</w:t>
      </w:r>
    </w:p>
    <w:p>
      <w:pPr>
        <w:spacing w:after="40"/>
        <w:ind w:firstLine="0"/>
      </w:pPr>
      <w:r>
        <w:rPr>
          <w:rFonts w:ascii="Times New Roman" w:hAnsi="Times New Roman"/>
          <w:i w:val="0"/>
          <w:sz w:val="22"/>
        </w:rPr>
        <w:t>https://reader.inference-arcade.com  |  https://github.com/milwrite/cloze-reader</w:t>
      </w:r>
    </w:p>
    <w:p/>
    <w:p>
      <w:pPr>
        <w:spacing w:line="480" w:lineRule="exact" w:after="0"/>
        <w:ind w:firstLine="720"/>
      </w:pPr>
      <w:r>
        <w:rPr>
          <w:rFonts w:ascii="Times New Roman" w:hAnsi="Times New Roman"/>
          <w:sz w:val="24"/>
        </w:rPr>
        <w:t>Introduced by Wilson Taylor in 1953 as a method for measuring reading comprehension, the cloze procedure has persisted as one of the most consequential assessment techniques to migrate from educational psychology into machine learning infrastructure. Taylor's 1953 article in Journalism Quarterly departed from existing approaches to reading comprehension and assessment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w:t>
      </w:r>
    </w:p>
    <w:p>
      <w:pPr>
        <w:spacing w:line="480" w:lineRule="exact" w:after="0"/>
        <w:ind w:firstLine="720"/>
      </w:pPr>
      <w:r>
        <w:rPr>
          <w:rFonts w:ascii="Times New Roman" w:hAnsi="Times New Roman"/>
          <w:sz w:val="24"/>
        </w:rPr>
        <w:t>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320" w:after="320"/>
        <w:jc w:val="center"/>
      </w:pPr>
      <w:r>
        <w:rPr>
          <w:color w:val="AAAAAA"/>
          <w:sz w:val="20"/>
        </w:rPr>
        <w:t>────────────────────────────────────────</w:t>
      </w:r>
    </w:p>
    <w:p>
      <w:pPr>
        <w:spacing w:before="280" w:after="120"/>
        <w:ind w:firstLine="0"/>
      </w:pPr>
      <w:r>
        <w:rPr>
          <w:rFonts w:ascii="Times New Roman" w:hAnsi="Times New Roman"/>
          <w:b/>
          <w:sz w:val="28"/>
        </w:rPr>
        <w:t>Literature Review: Twin Histories</w:t>
      </w:r>
    </w:p>
    <w:p>
      <w:pPr>
        <w:spacing w:after="40"/>
        <w:ind w:firstLine="0"/>
      </w:pPr>
      <w:r>
        <w:rPr>
          <w:rFonts w:ascii="Times New Roman" w:hAnsi="Times New Roman"/>
          <w:i/>
          <w:sz w:val="22"/>
        </w:rPr>
        <w:t>Session 2 draft — pending milwrite approval</w:t>
      </w:r>
    </w:p>
    <w:p/>
    <w:p>
      <w:pPr>
        <w:spacing w:line="480" w:lineRule="exact" w:after="0"/>
        <w:ind w:firstLine="720"/>
      </w:pPr>
      <w:r>
        <w:rPr>
          <w:rFonts w:ascii="Times New Roman" w:hAnsi="Times New Roman"/>
          <w:sz w:val="24"/>
        </w:rPr>
        <w:t>Cloze Reader and the Twin Histories of Occlusion</w:t>
      </w:r>
    </w:p>
    <w:p>
      <w:pPr>
        <w:spacing w:before="200" w:after="80"/>
        <w:ind w:firstLine="0"/>
      </w:pPr>
      <w:r>
        <w:rPr>
          <w:rFonts w:ascii="Times New Roman" w:hAnsi="Times New Roman"/>
          <w:b/>
          <w:i/>
          <w:sz w:val="24"/>
        </w:rPr>
        <w:t>I. The Educational Genealogy of Cloze</w:t>
      </w:r>
    </w:p>
    <w:p>
      <w:pPr>
        <w:spacing w:line="480" w:lineRule="exact" w:after="0"/>
        <w:ind w:firstLine="720"/>
      </w:pPr>
      <w:r>
        <w:rPr>
          <w:rFonts w:ascii="Times New Roman" w:hAnsi="Times New Roman"/>
          <w:sz w:val="24"/>
        </w:rPr>
        <w:t>Wilson Taylor's 1953 procedure was formally simple: delete words from a passage at</w:t>
      </w:r>
    </w:p>
    <w:p>
      <w:pPr>
        <w:spacing w:line="480" w:lineRule="exact" w:after="0"/>
        <w:ind w:firstLine="720"/>
      </w:pPr>
      <w:r>
        <w:rPr>
          <w:rFonts w:ascii="Times New Roman" w:hAnsi="Times New Roman"/>
          <w:sz w:val="24"/>
        </w:rPr>
        <w:t>regular intervals and ask readers to supply the missing terms. Its theoretical stakes were</w:t>
      </w:r>
    </w:p>
    <w:p>
      <w:pPr>
        <w:spacing w:line="480" w:lineRule="exact" w:after="0"/>
        <w:ind w:firstLine="720"/>
      </w:pPr>
      <w:r>
        <w:rPr>
          <w:rFonts w:ascii="Times New Roman" w:hAnsi="Times New Roman"/>
          <w:sz w:val="24"/>
        </w:rPr>
        <w:t>larger. Taylor adapted the Gestalt principle of closure — the perceptual tendency to</w:t>
      </w:r>
    </w:p>
    <w:p>
      <w:pPr>
        <w:spacing w:line="480" w:lineRule="exact" w:after="0"/>
        <w:ind w:firstLine="720"/>
      </w:pPr>
      <w:r>
        <w:rPr>
          <w:rFonts w:ascii="Times New Roman" w:hAnsi="Times New Roman"/>
          <w:sz w:val="24"/>
        </w:rPr>
        <w:t>complete incomplete familiar patterns, described systematically by Koffka (1935) and</w:t>
      </w:r>
    </w:p>
    <w:p>
      <w:pPr>
        <w:spacing w:line="480" w:lineRule="exact" w:after="0"/>
        <w:ind w:firstLine="720"/>
      </w:pPr>
      <w:r>
        <w:rPr>
          <w:rFonts w:ascii="Times New Roman" w:hAnsi="Times New Roman"/>
          <w:sz w:val="24"/>
        </w:rPr>
        <w:t>rooted in the broader Gestalt program of Wertheimer, Köhler, and Koffka — as a framework</w:t>
      </w:r>
    </w:p>
    <w:p>
      <w:pPr>
        <w:spacing w:line="480" w:lineRule="exact" w:after="0"/>
        <w:ind w:firstLine="720"/>
      </w:pPr>
      <w:r>
        <w:rPr>
          <w:rFonts w:ascii="Times New Roman" w:hAnsi="Times New Roman"/>
          <w:sz w:val="24"/>
        </w:rPr>
        <w:t>for measuring reading comprehension holistically. Where prior readability instruments</w:t>
      </w:r>
    </w:p>
    <w:p>
      <w:pPr>
        <w:spacing w:line="480" w:lineRule="exact" w:after="0"/>
        <w:ind w:firstLine="720"/>
      </w:pPr>
      <w:r>
        <w:rPr>
          <w:rFonts w:ascii="Times New Roman" w:hAnsi="Times New Roman"/>
          <w:sz w:val="24"/>
        </w:rPr>
        <w:t>counted syllables and sentence lengths, the cloze procedure tested whether readers could</w:t>
      </w:r>
    </w:p>
    <w:p>
      <w:pPr>
        <w:spacing w:line="480" w:lineRule="exact" w:after="0"/>
        <w:ind w:firstLine="720"/>
      </w:pPr>
      <w:r>
        <w:rPr>
          <w:rFonts w:ascii="Times New Roman" w:hAnsi="Times New Roman"/>
          <w:sz w:val="24"/>
        </w:rPr>
        <w:t>integrate semantic, syntactic, and contextual knowledge simultaneously (Taylor 1953).</w:t>
      </w:r>
    </w:p>
    <w:p>
      <w:pPr>
        <w:spacing w:line="480" w:lineRule="exact" w:after="0"/>
        <w:ind w:firstLine="720"/>
      </w:pPr>
      <w:r>
        <w:rPr>
          <w:rFonts w:ascii="Times New Roman" w:hAnsi="Times New Roman"/>
          <w:sz w:val="24"/>
        </w:rPr>
        <w:t>Subsequent research developed both the theoretical account and the practical scope of</w:t>
      </w:r>
    </w:p>
    <w:p>
      <w:pPr>
        <w:spacing w:line="480" w:lineRule="exact" w:after="0"/>
        <w:ind w:firstLine="720"/>
      </w:pPr>
      <w:r>
        <w:rPr>
          <w:rFonts w:ascii="Times New Roman" w:hAnsi="Times New Roman"/>
          <w:sz w:val="24"/>
        </w:rPr>
        <w:t>cloze. Oller (1979) formalized the mechanism underlying cloze performance as "pragmatic</w:t>
      </w:r>
    </w:p>
    <w:p>
      <w:pPr>
        <w:spacing w:line="480" w:lineRule="exact" w:after="0"/>
        <w:ind w:firstLine="720"/>
      </w:pPr>
      <w:r>
        <w:rPr>
          <w:rFonts w:ascii="Times New Roman" w:hAnsi="Times New Roman"/>
          <w:sz w:val="24"/>
        </w:rPr>
        <w:t>expectancy grammar": the system of linguistic knowledge that allows readers and speakers</w:t>
      </w:r>
    </w:p>
    <w:p>
      <w:pPr>
        <w:spacing w:line="480" w:lineRule="exact" w:after="0"/>
        <w:ind w:firstLine="720"/>
      </w:pPr>
      <w:r>
        <w:rPr>
          <w:rFonts w:ascii="Times New Roman" w:hAnsi="Times New Roman"/>
          <w:sz w:val="24"/>
        </w:rPr>
        <w:t>to anticipate what can and cannot come next in a well-formed utterance. On this account,</w:t>
      </w:r>
    </w:p>
    <w:p>
      <w:pPr>
        <w:spacing w:line="480" w:lineRule="exact" w:after="0"/>
        <w:ind w:firstLine="720"/>
      </w:pPr>
      <w:r>
        <w:rPr>
          <w:rFonts w:ascii="Times New Roman" w:hAnsi="Times New Roman"/>
          <w:sz w:val="24"/>
        </w:rPr>
        <w:t>cloze tests assess the same integrated competence deployed in ordinary comprehension —</w:t>
      </w:r>
    </w:p>
    <w:p>
      <w:pPr>
        <w:spacing w:line="480" w:lineRule="exact" w:after="0"/>
        <w:ind w:firstLine="720"/>
      </w:pPr>
      <w:r>
        <w:rPr>
          <w:rFonts w:ascii="Times New Roman" w:hAnsi="Times New Roman"/>
          <w:sz w:val="24"/>
        </w:rPr>
        <w:t>they do not measure a discrete subskill but activate the whole. This theoretical move was</w:t>
      </w:r>
    </w:p>
    <w:p>
      <w:pPr>
        <w:spacing w:line="480" w:lineRule="exact" w:after="0"/>
        <w:ind w:firstLine="720"/>
      </w:pPr>
      <w:r>
        <w:rPr>
          <w:rFonts w:ascii="Times New Roman" w:hAnsi="Times New Roman"/>
          <w:sz w:val="24"/>
        </w:rPr>
        <w:t>significant because it repositioned cloze from a readability metric to a general index of</w:t>
      </w:r>
    </w:p>
    <w:p>
      <w:pPr>
        <w:spacing w:line="480" w:lineRule="exact" w:after="0"/>
        <w:ind w:firstLine="720"/>
      </w:pPr>
      <w:r>
        <w:rPr>
          <w:rFonts w:ascii="Times New Roman" w:hAnsi="Times New Roman"/>
          <w:sz w:val="24"/>
        </w:rPr>
        <w:t>linguistic competence, with implications for second-language acquisition research that</w:t>
      </w:r>
    </w:p>
    <w:p>
      <w:pPr>
        <w:spacing w:line="480" w:lineRule="exact" w:after="0"/>
        <w:ind w:firstLine="720"/>
      </w:pPr>
      <w:r>
        <w:rPr>
          <w:rFonts w:ascii="Times New Roman" w:hAnsi="Times New Roman"/>
          <w:sz w:val="24"/>
        </w:rPr>
        <w:t>would follow (Abraham and Chapelle 1992).</w:t>
      </w:r>
    </w:p>
    <w:p>
      <w:pPr>
        <w:spacing w:line="480" w:lineRule="exact" w:after="0"/>
        <w:ind w:firstLine="720"/>
      </w:pPr>
      <w:r>
        <w:rPr>
          <w:rFonts w:ascii="Times New Roman" w:hAnsi="Times New Roman"/>
          <w:sz w:val="24"/>
        </w:rPr>
        <w:t>Two debates complicated the procedure's adoption as a universal instrument. The first</w:t>
      </w:r>
    </w:p>
    <w:p>
      <w:pPr>
        <w:spacing w:line="480" w:lineRule="exact" w:after="0"/>
        <w:ind w:firstLine="720"/>
      </w:pPr>
      <w:r>
        <w:rPr>
          <w:rFonts w:ascii="Times New Roman" w:hAnsi="Times New Roman"/>
          <w:sz w:val="24"/>
        </w:rPr>
        <w:t>concerned scoring method: researchers disputed whether only the exact original word</w:t>
      </w:r>
    </w:p>
    <w:p>
      <w:pPr>
        <w:spacing w:line="480" w:lineRule="exact" w:after="0"/>
        <w:ind w:firstLine="720"/>
      </w:pPr>
      <w:r>
        <w:rPr>
          <w:rFonts w:ascii="Times New Roman" w:hAnsi="Times New Roman"/>
          <w:sz w:val="24"/>
        </w:rPr>
        <w:t>should be accepted or whether acceptable synonyms warranted credit. Exact-word scoring</w:t>
      </w:r>
    </w:p>
    <w:p>
      <w:pPr>
        <w:spacing w:line="480" w:lineRule="exact" w:after="0"/>
        <w:ind w:firstLine="720"/>
      </w:pPr>
      <w:r>
        <w:rPr>
          <w:rFonts w:ascii="Times New Roman" w:hAnsi="Times New Roman"/>
          <w:sz w:val="24"/>
        </w:rPr>
        <w:t>produces higher inter-rater reliability and correlates well with other comprehension</w:t>
      </w:r>
    </w:p>
    <w:p>
      <w:pPr>
        <w:spacing w:line="480" w:lineRule="exact" w:after="0"/>
        <w:ind w:firstLine="720"/>
      </w:pPr>
      <w:r>
        <w:rPr>
          <w:rFonts w:ascii="Times New Roman" w:hAnsi="Times New Roman"/>
          <w:sz w:val="24"/>
        </w:rPr>
        <w:t>measures; synonym scoring better reflects the inferential flexibility that Oller's</w:t>
      </w:r>
    </w:p>
    <w:p>
      <w:pPr>
        <w:spacing w:line="480" w:lineRule="exact" w:after="0"/>
        <w:ind w:firstLine="720"/>
      </w:pPr>
      <w:r>
        <w:rPr>
          <w:rFonts w:ascii="Times New Roman" w:hAnsi="Times New Roman"/>
          <w:sz w:val="24"/>
        </w:rPr>
        <w:t>theoretical account predicts (Jongsma 1980). Neither resolves neatly, and the dispute</w:t>
      </w:r>
    </w:p>
    <w:p>
      <w:pPr>
        <w:spacing w:line="480" w:lineRule="exact" w:after="0"/>
        <w:ind w:firstLine="720"/>
      </w:pPr>
      <w:r>
        <w:rPr>
          <w:rFonts w:ascii="Times New Roman" w:hAnsi="Times New Roman"/>
          <w:sz w:val="24"/>
        </w:rPr>
        <w:t>surfaces a genuine ambiguity: cloze tests measure prediction of the original author's</w:t>
      </w:r>
    </w:p>
    <w:p>
      <w:pPr>
        <w:spacing w:line="480" w:lineRule="exact" w:after="0"/>
        <w:ind w:firstLine="720"/>
      </w:pPr>
      <w:r>
        <w:rPr>
          <w:rFonts w:ascii="Times New Roman" w:hAnsi="Times New Roman"/>
          <w:sz w:val="24"/>
        </w:rPr>
        <w:t>word choice as much as they measure contextual comprehension. A reader who supplies a</w:t>
      </w:r>
    </w:p>
    <w:p>
      <w:pPr>
        <w:spacing w:line="480" w:lineRule="exact" w:after="0"/>
        <w:ind w:firstLine="720"/>
      </w:pPr>
      <w:r>
        <w:rPr>
          <w:rFonts w:ascii="Times New Roman" w:hAnsi="Times New Roman"/>
          <w:sz w:val="24"/>
        </w:rPr>
        <w:t>semantically equivalent term has demonstrated comprehension; the procedure marks them</w:t>
      </w:r>
    </w:p>
    <w:p>
      <w:pPr>
        <w:spacing w:line="480" w:lineRule="exact" w:after="0"/>
        <w:ind w:firstLine="720"/>
      </w:pPr>
      <w:r>
        <w:rPr>
          <w:rFonts w:ascii="Times New Roman" w:hAnsi="Times New Roman"/>
          <w:sz w:val="24"/>
        </w:rPr>
        <w:t>wrong regardless.</w:t>
      </w:r>
    </w:p>
    <w:p>
      <w:pPr>
        <w:spacing w:line="480" w:lineRule="exact" w:after="0"/>
        <w:ind w:firstLine="720"/>
      </w:pPr>
      <w:r>
        <w:rPr>
          <w:rFonts w:ascii="Times New Roman" w:hAnsi="Times New Roman"/>
          <w:sz w:val="24"/>
        </w:rPr>
        <w:t>The second debate concerned deletion method. Taylor's fixed-ratio procedure (every fifth</w:t>
      </w:r>
    </w:p>
    <w:p>
      <w:pPr>
        <w:spacing w:line="480" w:lineRule="exact" w:after="0"/>
        <w:ind w:firstLine="720"/>
      </w:pPr>
      <w:r>
        <w:rPr>
          <w:rFonts w:ascii="Times New Roman" w:hAnsi="Times New Roman"/>
          <w:sz w:val="24"/>
        </w:rPr>
        <w:t>or seventh word) deletes without regard to the semantic weight of the deleted item.</w:t>
      </w:r>
    </w:p>
    <w:p>
      <w:pPr>
        <w:spacing w:line="480" w:lineRule="exact" w:after="0"/>
        <w:ind w:firstLine="720"/>
      </w:pPr>
      <w:r>
        <w:rPr>
          <w:rFonts w:ascii="Times New Roman" w:hAnsi="Times New Roman"/>
          <w:sz w:val="24"/>
        </w:rPr>
        <w:t>Bachman (1985) argued for rational deletion — selecting words based on their inferential</w:t>
      </w:r>
    </w:p>
    <w:p>
      <w:pPr>
        <w:spacing w:line="480" w:lineRule="exact" w:after="0"/>
        <w:ind w:firstLine="720"/>
      </w:pPr>
      <w:r>
        <w:rPr>
          <w:rFonts w:ascii="Times New Roman" w:hAnsi="Times New Roman"/>
          <w:sz w:val="24"/>
        </w:rPr>
        <w:t>salience — on the grounds that fixed-ratio deletion conflates easy and difficult</w:t>
      </w:r>
    </w:p>
    <w:p>
      <w:pPr>
        <w:spacing w:line="480" w:lineRule="exact" w:after="0"/>
        <w:ind w:firstLine="720"/>
      </w:pPr>
      <w:r>
        <w:rPr>
          <w:rFonts w:ascii="Times New Roman" w:hAnsi="Times New Roman"/>
          <w:sz w:val="24"/>
        </w:rPr>
        <w:t>predictions, flattening the difficulty gradient the procedure is meant to reveal. Cloze</w:t>
      </w:r>
    </w:p>
    <w:p>
      <w:pPr>
        <w:spacing w:line="480" w:lineRule="exact" w:after="0"/>
        <w:ind w:firstLine="720"/>
      </w:pPr>
      <w:r>
        <w:rPr>
          <w:rFonts w:ascii="Times New Roman" w:hAnsi="Times New Roman"/>
          <w:sz w:val="24"/>
        </w:rPr>
        <w:t>Reader's architecture resolves this debate by design: word selection is delegated to a</w:t>
      </w:r>
    </w:p>
    <w:p>
      <w:pPr>
        <w:spacing w:line="480" w:lineRule="exact" w:after="0"/>
        <w:ind w:firstLine="720"/>
      </w:pPr>
      <w:r>
        <w:rPr>
          <w:rFonts w:ascii="Times New Roman" w:hAnsi="Times New Roman"/>
          <w:sz w:val="24"/>
        </w:rPr>
        <w:t>language model, which chooses items by heuristic instruction rather than by fixed interval</w:t>
      </w:r>
    </w:p>
    <w:p>
      <w:pPr>
        <w:spacing w:line="480" w:lineRule="exact" w:after="0"/>
        <w:ind w:firstLine="720"/>
      </w:pPr>
      <w:r>
        <w:rPr>
          <w:rFonts w:ascii="Times New Roman" w:hAnsi="Times New Roman"/>
          <w:sz w:val="24"/>
        </w:rPr>
        <w:t>or researcher judgment. The implications of that design choice are the paper's primary</w:t>
      </w:r>
    </w:p>
    <w:p>
      <w:pPr>
        <w:spacing w:line="480" w:lineRule="exact" w:after="0"/>
        <w:ind w:firstLine="720"/>
      </w:pPr>
      <w:r>
        <w:rPr>
          <w:rFonts w:ascii="Times New Roman" w:hAnsi="Times New Roman"/>
          <w:sz w:val="24"/>
        </w:rPr>
        <w:t>subject.</w:t>
      </w:r>
    </w:p>
    <w:p>
      <w:pPr>
        <w:spacing w:before="200" w:after="80"/>
        <w:ind w:firstLine="0"/>
      </w:pPr>
      <w:r>
        <w:rPr>
          <w:rFonts w:ascii="Times New Roman" w:hAnsi="Times New Roman"/>
          <w:b/>
          <w:i/>
          <w:sz w:val="24"/>
        </w:rPr>
        <w:t>II. The Machine Learning Genealogy</w:t>
      </w:r>
    </w:p>
    <w:p>
      <w:pPr>
        <w:spacing w:line="480" w:lineRule="exact" w:after="0"/>
        <w:ind w:firstLine="720"/>
      </w:pPr>
      <w:r>
        <w:rPr>
          <w:rFonts w:ascii="Times New Roman" w:hAnsi="Times New Roman"/>
          <w:sz w:val="24"/>
        </w:rPr>
        <w:t>The structural resemblance between cloze testing and masked language modeling is not</w:t>
      </w:r>
    </w:p>
    <w:p>
      <w:pPr>
        <w:spacing w:line="480" w:lineRule="exact" w:after="0"/>
        <w:ind w:firstLine="720"/>
      </w:pPr>
      <w:r>
        <w:rPr>
          <w:rFonts w:ascii="Times New Roman" w:hAnsi="Times New Roman"/>
          <w:sz w:val="24"/>
        </w:rPr>
        <w:t>accidental. Both descend from the distributional hypothesis — the claim, formalized by</w:t>
      </w:r>
    </w:p>
    <w:p>
      <w:pPr>
        <w:spacing w:line="480" w:lineRule="exact" w:after="0"/>
        <w:ind w:firstLine="720"/>
      </w:pPr>
      <w:r>
        <w:rPr>
          <w:rFonts w:ascii="Times New Roman" w:hAnsi="Times New Roman"/>
          <w:sz w:val="24"/>
        </w:rPr>
        <w:t>Harris (1952) and made memorable by Firth (1957), that words occurring in similar</w:t>
      </w:r>
    </w:p>
    <w:p>
      <w:pPr>
        <w:spacing w:line="480" w:lineRule="exact" w:after="0"/>
        <w:ind w:firstLine="720"/>
      </w:pPr>
      <w:r>
        <w:rPr>
          <w:rFonts w:ascii="Times New Roman" w:hAnsi="Times New Roman"/>
          <w:sz w:val="24"/>
        </w:rPr>
        <w:t>contexts carry similar meanings. Harris proposed distributional analysis as a method for</w:t>
      </w:r>
    </w:p>
    <w:p>
      <w:pPr>
        <w:spacing w:line="480" w:lineRule="exact" w:after="0"/>
        <w:ind w:firstLine="720"/>
      </w:pPr>
      <w:r>
        <w:rPr>
          <w:rFonts w:ascii="Times New Roman" w:hAnsi="Times New Roman"/>
          <w:sz w:val="24"/>
        </w:rPr>
        <w:t>discovering linguistic structure from raw text; Firth's formulation ("you shall know a</w:t>
      </w:r>
    </w:p>
    <w:p>
      <w:pPr>
        <w:spacing w:line="480" w:lineRule="exact" w:after="0"/>
        <w:ind w:firstLine="720"/>
      </w:pPr>
      <w:r>
        <w:rPr>
          <w:rFonts w:ascii="Times New Roman" w:hAnsi="Times New Roman"/>
          <w:sz w:val="24"/>
        </w:rPr>
        <w:t>word by the company it keeps") became the informal charter of computational semantics. The</w:t>
      </w:r>
    </w:p>
    <w:p>
      <w:pPr>
        <w:spacing w:line="480" w:lineRule="exact" w:after="0"/>
        <w:ind w:firstLine="720"/>
      </w:pPr>
      <w:r>
        <w:rPr>
          <w:rFonts w:ascii="Times New Roman" w:hAnsi="Times New Roman"/>
          <w:sz w:val="24"/>
        </w:rPr>
        <w:t>contextual prediction insight that Taylor applied to human readers is the same insight</w:t>
      </w:r>
    </w:p>
    <w:p>
      <w:pPr>
        <w:spacing w:line="480" w:lineRule="exact" w:after="0"/>
        <w:ind w:firstLine="720"/>
      </w:pPr>
      <w:r>
        <w:rPr>
          <w:rFonts w:ascii="Times New Roman" w:hAnsi="Times New Roman"/>
          <w:sz w:val="24"/>
        </w:rPr>
        <w:t>that word embedding models would eventually formalize as a training objective.</w:t>
      </w:r>
    </w:p>
    <w:p>
      <w:pPr>
        <w:spacing w:line="480" w:lineRule="exact" w:after="0"/>
        <w:ind w:firstLine="720"/>
      </w:pPr>
      <w:r>
        <w:rPr>
          <w:rFonts w:ascii="Times New Roman" w:hAnsi="Times New Roman"/>
          <w:sz w:val="24"/>
        </w:rPr>
        <w:t>The technical trajectory from that insight to masked language modeling runs through</w:t>
      </w:r>
    </w:p>
    <w:p>
      <w:pPr>
        <w:spacing w:line="480" w:lineRule="exact" w:after="0"/>
        <w:ind w:firstLine="720"/>
      </w:pPr>
      <w:r>
        <w:rPr>
          <w:rFonts w:ascii="Times New Roman" w:hAnsi="Times New Roman"/>
          <w:sz w:val="24"/>
        </w:rPr>
        <w:t>distributional semantics, neural word embeddings, and contextualized representations.</w:t>
      </w:r>
    </w:p>
    <w:p>
      <w:pPr>
        <w:spacing w:line="480" w:lineRule="exact" w:after="0"/>
        <w:ind w:firstLine="720"/>
      </w:pPr>
      <w:r>
        <w:rPr>
          <w:rFonts w:ascii="Times New Roman" w:hAnsi="Times New Roman"/>
          <w:sz w:val="24"/>
        </w:rPr>
        <w:t>Mikolov et al. (2013) demonstrated that word embeddings trained on shallow prediction</w:t>
      </w:r>
    </w:p>
    <w:p>
      <w:pPr>
        <w:spacing w:line="480" w:lineRule="exact" w:after="0"/>
        <w:ind w:firstLine="720"/>
      </w:pPr>
      <w:r>
        <w:rPr>
          <w:rFonts w:ascii="Times New Roman" w:hAnsi="Times New Roman"/>
          <w:sz w:val="24"/>
        </w:rPr>
        <w:t>objectives encoded semantic and syntactic regularities at scale. The limitation of such</w:t>
      </w:r>
    </w:p>
    <w:p>
      <w:pPr>
        <w:spacing w:line="480" w:lineRule="exact" w:after="0"/>
        <w:ind w:firstLine="720"/>
      </w:pPr>
      <w:r>
        <w:rPr>
          <w:rFonts w:ascii="Times New Roman" w:hAnsi="Times New Roman"/>
          <w:sz w:val="24"/>
        </w:rPr>
        <w:t>representations was context-independence: each word received a single vector regardless</w:t>
      </w:r>
    </w:p>
    <w:p>
      <w:pPr>
        <w:spacing w:line="480" w:lineRule="exact" w:after="0"/>
        <w:ind w:firstLine="720"/>
      </w:pPr>
      <w:r>
        <w:rPr>
          <w:rFonts w:ascii="Times New Roman" w:hAnsi="Times New Roman"/>
          <w:sz w:val="24"/>
        </w:rPr>
        <w:t>of its usage in a specific sentence. Peters et al. (2018) addressed this with ELMo</w:t>
      </w:r>
    </w:p>
    <w:p>
      <w:pPr>
        <w:spacing w:line="480" w:lineRule="exact" w:after="0"/>
        <w:ind w:firstLine="720"/>
      </w:pPr>
      <w:r>
        <w:rPr>
          <w:rFonts w:ascii="Times New Roman" w:hAnsi="Times New Roman"/>
          <w:sz w:val="24"/>
        </w:rPr>
        <w:t>(Embeddings from Language Models), which generated contextualized representations via</w:t>
      </w:r>
    </w:p>
    <w:p>
      <w:pPr>
        <w:spacing w:line="480" w:lineRule="exact" w:after="0"/>
        <w:ind w:firstLine="720"/>
      </w:pPr>
      <w:r>
        <w:rPr>
          <w:rFonts w:ascii="Times New Roman" w:hAnsi="Times New Roman"/>
          <w:sz w:val="24"/>
        </w:rPr>
        <w:t>bidirectional LSTM language modeling — forward and backward passes trained separately,</w:t>
      </w:r>
    </w:p>
    <w:p>
      <w:pPr>
        <w:spacing w:line="480" w:lineRule="exact" w:after="0"/>
        <w:ind w:firstLine="720"/>
      </w:pPr>
      <w:r>
        <w:rPr>
          <w:rFonts w:ascii="Times New Roman" w:hAnsi="Times New Roman"/>
          <w:sz w:val="24"/>
        </w:rPr>
        <w:t>then concatenated. ELMo's representations improved downstream performance across a range</w:t>
      </w:r>
    </w:p>
    <w:p>
      <w:pPr>
        <w:spacing w:line="480" w:lineRule="exact" w:after="0"/>
        <w:ind w:firstLine="720"/>
      </w:pPr>
      <w:r>
        <w:rPr>
          <w:rFonts w:ascii="Times New Roman" w:hAnsi="Times New Roman"/>
          <w:sz w:val="24"/>
        </w:rPr>
        <w:t>of NLP benchmarks and established that context-sensitive encoding mattered.</w:t>
      </w:r>
    </w:p>
    <w:p>
      <w:pPr>
        <w:spacing w:line="480" w:lineRule="exact" w:after="0"/>
        <w:ind w:firstLine="720"/>
      </w:pPr>
      <w:r>
        <w:rPr>
          <w:rFonts w:ascii="Times New Roman" w:hAnsi="Times New Roman"/>
          <w:sz w:val="24"/>
        </w:rPr>
        <w:t>BERT (Devlin et al. 2019) extended ELMo's bidirectionality by training on masked tokens</w:t>
      </w:r>
    </w:p>
    <w:p>
      <w:pPr>
        <w:spacing w:line="480" w:lineRule="exact" w:after="0"/>
        <w:ind w:firstLine="720"/>
      </w:pPr>
      <w:r>
        <w:rPr>
          <w:rFonts w:ascii="Times New Roman" w:hAnsi="Times New Roman"/>
          <w:sz w:val="24"/>
        </w:rPr>
        <w:t>within a single joint model rather than concatenating two directional passes. Where ELMo's</w:t>
      </w:r>
    </w:p>
    <w:p>
      <w:pPr>
        <w:spacing w:line="480" w:lineRule="exact" w:after="0"/>
        <w:ind w:firstLine="720"/>
      </w:pPr>
      <w:r>
        <w:rPr>
          <w:rFonts w:ascii="Times New Roman" w:hAnsi="Times New Roman"/>
          <w:sz w:val="24"/>
        </w:rPr>
        <w:t>bidirectionality was shallow — each direction trained independently — BERT's transformer</w:t>
      </w:r>
    </w:p>
    <w:p>
      <w:pPr>
        <w:spacing w:line="480" w:lineRule="exact" w:after="0"/>
        <w:ind w:firstLine="720"/>
      </w:pPr>
      <w:r>
        <w:rPr>
          <w:rFonts w:ascii="Times New Roman" w:hAnsi="Times New Roman"/>
          <w:sz w:val="24"/>
        </w:rPr>
        <w:t>encoder architecture allowed every token position to attend to all other positions</w:t>
      </w:r>
    </w:p>
    <w:p>
      <w:pPr>
        <w:spacing w:line="480" w:lineRule="exact" w:after="0"/>
        <w:ind w:firstLine="720"/>
      </w:pPr>
      <w:r>
        <w:rPr>
          <w:rFonts w:ascii="Times New Roman" w:hAnsi="Times New Roman"/>
          <w:sz w:val="24"/>
        </w:rPr>
        <w:t>simultaneously. The masked language modeling objective made this training feasible as a</w:t>
      </w:r>
    </w:p>
    <w:p>
      <w:pPr>
        <w:spacing w:line="480" w:lineRule="exact" w:after="0"/>
        <w:ind w:firstLine="720"/>
      </w:pPr>
      <w:r>
        <w:rPr>
          <w:rFonts w:ascii="Times New Roman" w:hAnsi="Times New Roman"/>
          <w:sz w:val="24"/>
        </w:rPr>
        <w:t>self-supervised task: the supervisory signal was already present in unannotated text, and</w:t>
      </w:r>
    </w:p>
    <w:p>
      <w:pPr>
        <w:spacing w:line="480" w:lineRule="exact" w:after="0"/>
        <w:ind w:firstLine="720"/>
      </w:pPr>
      <w:r>
        <w:rPr>
          <w:rFonts w:ascii="Times New Roman" w:hAnsi="Times New Roman"/>
          <w:sz w:val="24"/>
        </w:rPr>
        <w:t>the scale of available text made large-parameter training viable (Liu et al. 2021). BERT's</w:t>
      </w:r>
    </w:p>
    <w:p>
      <w:pPr>
        <w:spacing w:line="480" w:lineRule="exact" w:after="0"/>
        <w:ind w:firstLine="720"/>
      </w:pPr>
      <w:r>
        <w:rPr>
          <w:rFonts w:ascii="Times New Roman" w:hAnsi="Times New Roman"/>
          <w:sz w:val="24"/>
        </w:rPr>
        <w:t>state-of-the-art results on eleven NLP benchmarks established masked language modeling as</w:t>
      </w:r>
    </w:p>
    <w:p>
      <w:pPr>
        <w:spacing w:line="480" w:lineRule="exact" w:after="0"/>
        <w:ind w:firstLine="720"/>
      </w:pPr>
      <w:r>
        <w:rPr>
          <w:rFonts w:ascii="Times New Roman" w:hAnsi="Times New Roman"/>
          <w:sz w:val="24"/>
        </w:rPr>
        <w:t>the dominant pretraining paradigm, and the paradigm has persisted through subsequent</w:t>
      </w:r>
    </w:p>
    <w:p>
      <w:pPr>
        <w:spacing w:line="480" w:lineRule="exact" w:after="0"/>
        <w:ind w:firstLine="720"/>
      </w:pPr>
      <w:r>
        <w:rPr>
          <w:rFonts w:ascii="Times New Roman" w:hAnsi="Times New Roman"/>
          <w:sz w:val="24"/>
        </w:rPr>
        <w:t>variants (RoBERTa, ALBERT, DistilBERT) that modify implementation details without</w:t>
      </w:r>
    </w:p>
    <w:p>
      <w:pPr>
        <w:spacing w:line="480" w:lineRule="exact" w:after="0"/>
        <w:ind w:firstLine="720"/>
      </w:pPr>
      <w:r>
        <w:rPr>
          <w:rFonts w:ascii="Times New Roman" w:hAnsi="Times New Roman"/>
          <w:sz w:val="24"/>
        </w:rPr>
        <w:t>abandoning the core masked-prediction objective.</w:t>
      </w:r>
    </w:p>
    <w:p>
      <w:pPr>
        <w:spacing w:before="200" w:after="80"/>
        <w:ind w:firstLine="0"/>
      </w:pPr>
      <w:r>
        <w:rPr>
          <w:rFonts w:ascii="Times New Roman" w:hAnsi="Times New Roman"/>
          <w:b/>
          <w:i/>
          <w:sz w:val="24"/>
        </w:rPr>
        <w:t>III. Continuity and Asymmetry</w:t>
      </w:r>
    </w:p>
    <w:p>
      <w:pPr>
        <w:spacing w:line="480" w:lineRule="exact" w:after="0"/>
        <w:ind w:firstLine="720"/>
      </w:pPr>
      <w:r>
        <w:rPr>
          <w:rFonts w:ascii="Times New Roman" w:hAnsi="Times New Roman"/>
          <w:sz w:val="24"/>
        </w:rPr>
        <w:t>Both histories share a structural premise: that contextual prediction is a meaningful</w:t>
      </w:r>
    </w:p>
    <w:p>
      <w:pPr>
        <w:spacing w:line="480" w:lineRule="exact" w:after="0"/>
        <w:ind w:firstLine="720"/>
      </w:pPr>
      <w:r>
        <w:rPr>
          <w:rFonts w:ascii="Times New Roman" w:hAnsi="Times New Roman"/>
          <w:sz w:val="24"/>
        </w:rPr>
        <w:t>index of linguistic competence. Taylor operationalized that premise as an assessment</w:t>
      </w:r>
    </w:p>
    <w:p>
      <w:pPr>
        <w:spacing w:line="480" w:lineRule="exact" w:after="0"/>
        <w:ind w:firstLine="720"/>
      </w:pPr>
      <w:r>
        <w:rPr>
          <w:rFonts w:ascii="Times New Roman" w:hAnsi="Times New Roman"/>
          <w:sz w:val="24"/>
        </w:rPr>
        <w:t>instrument. BERT's developers operationalized it as a training objective. The two</w:t>
      </w:r>
    </w:p>
    <w:p>
      <w:pPr>
        <w:spacing w:line="480" w:lineRule="exact" w:after="0"/>
        <w:ind w:firstLine="720"/>
      </w:pPr>
      <w:r>
        <w:rPr>
          <w:rFonts w:ascii="Times New Roman" w:hAnsi="Times New Roman"/>
          <w:sz w:val="24"/>
        </w:rPr>
        <w:t>applications differ in what they treat as the system under examination — human readers in</w:t>
      </w:r>
    </w:p>
    <w:p>
      <w:pPr>
        <w:spacing w:line="480" w:lineRule="exact" w:after="0"/>
        <w:ind w:firstLine="720"/>
      </w:pPr>
      <w:r>
        <w:rPr>
          <w:rFonts w:ascii="Times New Roman" w:hAnsi="Times New Roman"/>
          <w:sz w:val="24"/>
        </w:rPr>
        <w:t>the first case, neural parameters in the second — and in what the procedure is meant to</w:t>
      </w:r>
    </w:p>
    <w:p>
      <w:pPr>
        <w:spacing w:line="480" w:lineRule="exact" w:after="0"/>
        <w:ind w:firstLine="720"/>
      </w:pPr>
      <w:r>
        <w:rPr>
          <w:rFonts w:ascii="Times New Roman" w:hAnsi="Times New Roman"/>
          <w:sz w:val="24"/>
        </w:rPr>
        <w:t>produce: a measurement of existing capacity versus an induction of new representations.</w:t>
      </w:r>
    </w:p>
    <w:p>
      <w:pPr>
        <w:spacing w:line="480" w:lineRule="exact" w:after="0"/>
        <w:ind w:firstLine="720"/>
      </w:pPr>
      <w:r>
        <w:rPr>
          <w:rFonts w:ascii="Times New Roman" w:hAnsi="Times New Roman"/>
          <w:sz w:val="24"/>
        </w:rPr>
        <w:t>Cloze Reader makes that difference playable by routing the model's output back to a human</w:t>
      </w:r>
    </w:p>
    <w:p>
      <w:pPr>
        <w:spacing w:line="480" w:lineRule="exact" w:after="0"/>
        <w:ind w:firstLine="720"/>
      </w:pPr>
      <w:r>
        <w:rPr>
          <w:rFonts w:ascii="Times New Roman" w:hAnsi="Times New Roman"/>
          <w:sz w:val="24"/>
        </w:rPr>
        <w:t>reader as a task, placing the model and the reader on either side of the same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