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CD91" w14:textId="7F3D1C97" w:rsidR="009F1D0C" w:rsidRDefault="00C1299C" w:rsidP="00C1299C">
      <w:pPr>
        <w:bidi/>
        <w:jc w:val="center"/>
        <w:rPr>
          <w:b/>
          <w:bCs/>
          <w:sz w:val="32"/>
          <w:szCs w:val="32"/>
          <w:u w:val="single"/>
          <w:rtl/>
          <w:lang w:val="en-US"/>
        </w:rPr>
      </w:pPr>
      <w:r w:rsidRPr="00C1299C">
        <w:rPr>
          <w:rFonts w:hint="cs"/>
          <w:b/>
          <w:bCs/>
          <w:sz w:val="32"/>
          <w:szCs w:val="32"/>
          <w:u w:val="single"/>
          <w:rtl/>
          <w:lang w:val="en-US"/>
        </w:rPr>
        <w:t xml:space="preserve">מסמך מחקר - </w:t>
      </w:r>
      <w:proofErr w:type="spellStart"/>
      <w:r w:rsidRPr="00C1299C">
        <w:rPr>
          <w:rFonts w:hint="cs"/>
          <w:b/>
          <w:bCs/>
          <w:sz w:val="32"/>
          <w:szCs w:val="32"/>
          <w:u w:val="single"/>
          <w:rtl/>
          <w:lang w:val="en-US"/>
        </w:rPr>
        <w:t>ממ״ן</w:t>
      </w:r>
      <w:proofErr w:type="spellEnd"/>
      <w:r w:rsidRPr="00C1299C">
        <w:rPr>
          <w:rFonts w:hint="cs"/>
          <w:b/>
          <w:bCs/>
          <w:sz w:val="32"/>
          <w:szCs w:val="32"/>
          <w:u w:val="single"/>
          <w:rtl/>
          <w:lang w:val="en-US"/>
        </w:rPr>
        <w:t xml:space="preserve"> 15</w:t>
      </w:r>
    </w:p>
    <w:p w14:paraId="667EC27E" w14:textId="27F83C82" w:rsidR="00C1299C" w:rsidRDefault="00C1299C" w:rsidP="00C1299C">
      <w:pPr>
        <w:bidi/>
        <w:jc w:val="center"/>
        <w:rPr>
          <w:b/>
          <w:bCs/>
          <w:sz w:val="32"/>
          <w:szCs w:val="32"/>
          <w:u w:val="single"/>
          <w:rtl/>
          <w:lang w:val="en-US"/>
        </w:rPr>
      </w:pPr>
    </w:p>
    <w:tbl>
      <w:tblPr>
        <w:tblStyle w:val="TableGrid"/>
        <w:bidiVisual/>
        <w:tblW w:w="0" w:type="auto"/>
        <w:tblLook w:val="04A0" w:firstRow="1" w:lastRow="0" w:firstColumn="1" w:lastColumn="0" w:noHBand="0" w:noVBand="1"/>
      </w:tblPr>
      <w:tblGrid>
        <w:gridCol w:w="2266"/>
        <w:gridCol w:w="7084"/>
      </w:tblGrid>
      <w:tr w:rsidR="00C1299C" w14:paraId="01F0CE94" w14:textId="77777777" w:rsidTr="00C1299C">
        <w:tc>
          <w:tcPr>
            <w:tcW w:w="2266" w:type="dxa"/>
          </w:tcPr>
          <w:p w14:paraId="126F7011" w14:textId="18EF5BE9" w:rsidR="00C1299C" w:rsidRDefault="00C1299C" w:rsidP="00C1299C">
            <w:pPr>
              <w:bidi/>
              <w:jc w:val="center"/>
              <w:rPr>
                <w:rFonts w:hint="cs"/>
                <w:rtl/>
                <w:lang w:val="en-US"/>
              </w:rPr>
            </w:pPr>
            <w:r>
              <w:rPr>
                <w:rFonts w:hint="cs"/>
                <w:rtl/>
                <w:lang w:val="en-US"/>
              </w:rPr>
              <w:t>סוג האיום</w:t>
            </w:r>
          </w:p>
        </w:tc>
        <w:tc>
          <w:tcPr>
            <w:tcW w:w="7084" w:type="dxa"/>
          </w:tcPr>
          <w:p w14:paraId="582AEDC7" w14:textId="1B224A40" w:rsidR="00C1299C" w:rsidRDefault="00C1299C" w:rsidP="00C1299C">
            <w:pPr>
              <w:bidi/>
              <w:jc w:val="center"/>
              <w:rPr>
                <w:rFonts w:hint="cs"/>
                <w:lang w:val="en-US"/>
              </w:rPr>
            </w:pPr>
            <w:r>
              <w:rPr>
                <w:lang w:val="en-US"/>
              </w:rPr>
              <w:t>MITM – men in the middle</w:t>
            </w:r>
          </w:p>
        </w:tc>
      </w:tr>
      <w:tr w:rsidR="00C1299C" w14:paraId="2C7935D1" w14:textId="77777777" w:rsidTr="00C1299C">
        <w:tc>
          <w:tcPr>
            <w:tcW w:w="2266" w:type="dxa"/>
          </w:tcPr>
          <w:p w14:paraId="0E31AABB" w14:textId="7A6F6ABE" w:rsidR="00C1299C" w:rsidRDefault="00C1299C" w:rsidP="00C1299C">
            <w:pPr>
              <w:bidi/>
              <w:jc w:val="center"/>
              <w:rPr>
                <w:rFonts w:hint="cs"/>
                <w:rtl/>
                <w:lang w:val="en-US"/>
              </w:rPr>
            </w:pPr>
            <w:r>
              <w:rPr>
                <w:rFonts w:hint="cs"/>
                <w:rtl/>
                <w:lang w:val="en-US"/>
              </w:rPr>
              <w:t>הרכיב המושפע</w:t>
            </w:r>
          </w:p>
        </w:tc>
        <w:tc>
          <w:tcPr>
            <w:tcW w:w="7084" w:type="dxa"/>
          </w:tcPr>
          <w:p w14:paraId="226F8CCC" w14:textId="527A50CE" w:rsidR="00C1299C" w:rsidRDefault="00C1299C" w:rsidP="00C1299C">
            <w:pPr>
              <w:bidi/>
              <w:jc w:val="center"/>
              <w:rPr>
                <w:rFonts w:hint="cs"/>
                <w:rtl/>
                <w:lang w:val="en-US"/>
              </w:rPr>
            </w:pPr>
            <w:r>
              <w:rPr>
                <w:lang w:val="en-US"/>
              </w:rPr>
              <w:t>ClientLogic</w:t>
            </w:r>
          </w:p>
        </w:tc>
      </w:tr>
      <w:tr w:rsidR="00C1299C" w14:paraId="07E6AA48" w14:textId="77777777" w:rsidTr="00C1299C">
        <w:tc>
          <w:tcPr>
            <w:tcW w:w="2266" w:type="dxa"/>
          </w:tcPr>
          <w:p w14:paraId="4112663F" w14:textId="5CFDA145" w:rsidR="00C1299C" w:rsidRDefault="00C1299C" w:rsidP="00C1299C">
            <w:pPr>
              <w:bidi/>
              <w:jc w:val="center"/>
              <w:rPr>
                <w:rFonts w:hint="cs"/>
                <w:rtl/>
                <w:lang w:val="en-US"/>
              </w:rPr>
            </w:pPr>
            <w:r>
              <w:rPr>
                <w:rFonts w:hint="cs"/>
                <w:rtl/>
                <w:lang w:val="en-US"/>
              </w:rPr>
              <w:t>שם המודול</w:t>
            </w:r>
          </w:p>
        </w:tc>
        <w:tc>
          <w:tcPr>
            <w:tcW w:w="7084" w:type="dxa"/>
          </w:tcPr>
          <w:p w14:paraId="79E95820" w14:textId="3EAF6AEA" w:rsidR="00C1299C" w:rsidRDefault="00C1299C" w:rsidP="00C1299C">
            <w:pPr>
              <w:bidi/>
              <w:jc w:val="center"/>
              <w:rPr>
                <w:rFonts w:hint="cs"/>
                <w:rtl/>
                <w:lang w:val="en-US"/>
              </w:rPr>
            </w:pPr>
            <w:r>
              <w:rPr>
                <w:lang w:val="en-US"/>
              </w:rPr>
              <w:t>Client</w:t>
            </w:r>
          </w:p>
        </w:tc>
      </w:tr>
      <w:tr w:rsidR="00C1299C" w14:paraId="164EAD62" w14:textId="77777777" w:rsidTr="00C1299C">
        <w:tc>
          <w:tcPr>
            <w:tcW w:w="2266" w:type="dxa"/>
          </w:tcPr>
          <w:p w14:paraId="371F39F0" w14:textId="492AC6C6" w:rsidR="00C1299C" w:rsidRDefault="00C1299C" w:rsidP="00C1299C">
            <w:pPr>
              <w:bidi/>
              <w:jc w:val="center"/>
              <w:rPr>
                <w:rFonts w:hint="cs"/>
                <w:rtl/>
                <w:lang w:val="en-US"/>
              </w:rPr>
            </w:pPr>
            <w:r>
              <w:rPr>
                <w:rFonts w:hint="cs"/>
                <w:rtl/>
                <w:lang w:val="en-US"/>
              </w:rPr>
              <w:t>סיווג החולשה</w:t>
            </w:r>
          </w:p>
        </w:tc>
        <w:tc>
          <w:tcPr>
            <w:tcW w:w="7084" w:type="dxa"/>
          </w:tcPr>
          <w:p w14:paraId="43FE855A" w14:textId="00456498" w:rsidR="00C1299C" w:rsidRDefault="00FA47C0" w:rsidP="00122A7B">
            <w:pPr>
              <w:jc w:val="center"/>
              <w:rPr>
                <w:lang w:val="en-US"/>
              </w:rPr>
            </w:pPr>
            <w:r>
              <w:rPr>
                <w:rFonts w:hint="cs"/>
                <w:rtl/>
                <w:lang w:val="en-US"/>
              </w:rPr>
              <w:t xml:space="preserve"> </w:t>
            </w:r>
            <w:r>
              <w:rPr>
                <w:rFonts w:ascii="Segoe UI" w:hAnsi="Segoe UI" w:cs="Segoe UI"/>
                <w:color w:val="202122"/>
                <w:sz w:val="27"/>
                <w:szCs w:val="27"/>
                <w:shd w:val="clear" w:color="auto" w:fill="FFFFFF"/>
              </w:rPr>
              <w:t>Håstad</w:t>
            </w:r>
            <w:r>
              <w:rPr>
                <w:rFonts w:ascii="Segoe UI" w:hAnsi="Segoe UI" w:cs="Segoe UI"/>
                <w:color w:val="202122"/>
                <w:sz w:val="27"/>
                <w:szCs w:val="27"/>
                <w:shd w:val="clear" w:color="auto" w:fill="FFFFFF"/>
                <w:lang w:val="en-US"/>
              </w:rPr>
              <w:t xml:space="preserve"> </w:t>
            </w:r>
            <w:r>
              <w:rPr>
                <w:lang w:val="en-US"/>
              </w:rPr>
              <w:t xml:space="preserve">broadcast attack+ </w:t>
            </w:r>
            <w:r w:rsidR="00122A7B">
              <w:rPr>
                <w:lang w:val="en-US"/>
              </w:rPr>
              <w:t>Cryptographic attack</w:t>
            </w:r>
          </w:p>
        </w:tc>
      </w:tr>
      <w:tr w:rsidR="00C1299C" w14:paraId="3BC4F918" w14:textId="77777777" w:rsidTr="00C1299C">
        <w:tc>
          <w:tcPr>
            <w:tcW w:w="2266" w:type="dxa"/>
          </w:tcPr>
          <w:p w14:paraId="635E3A5A" w14:textId="7D1AB0D0" w:rsidR="00C1299C" w:rsidRDefault="00C1299C" w:rsidP="00C1299C">
            <w:pPr>
              <w:bidi/>
              <w:jc w:val="center"/>
              <w:rPr>
                <w:rFonts w:hint="cs"/>
                <w:rtl/>
                <w:lang w:val="en-US"/>
              </w:rPr>
            </w:pPr>
            <w:r>
              <w:rPr>
                <w:rFonts w:hint="cs"/>
                <w:rtl/>
                <w:lang w:val="en-US"/>
              </w:rPr>
              <w:t>תיאור</w:t>
            </w:r>
          </w:p>
        </w:tc>
        <w:tc>
          <w:tcPr>
            <w:tcW w:w="7084" w:type="dxa"/>
          </w:tcPr>
          <w:p w14:paraId="2D19293E" w14:textId="5DB3A1A6" w:rsidR="006B4874" w:rsidRDefault="00FA47C0" w:rsidP="006B4874">
            <w:pPr>
              <w:bidi/>
              <w:jc w:val="center"/>
              <w:rPr>
                <w:rtl/>
                <w:lang w:val="en-US"/>
              </w:rPr>
            </w:pPr>
            <w:r>
              <w:rPr>
                <w:rFonts w:hint="cs"/>
                <w:rtl/>
                <w:lang w:val="en-US"/>
              </w:rPr>
              <w:t xml:space="preserve">החולשה העיקרית </w:t>
            </w:r>
            <w:r>
              <w:rPr>
                <w:lang w:val="en-US"/>
              </w:rPr>
              <w:t>נ</w:t>
            </w:r>
            <w:r>
              <w:rPr>
                <w:rFonts w:hint="cs"/>
                <w:rtl/>
                <w:lang w:val="en-US"/>
              </w:rPr>
              <w:t>ובעת מהדרישה כי בהינתן תשובת כישלון מהשרת הלקוח ישלח את ההודעה עוד פעמיים, כלומר בסה״כ 3 פעמים.</w:t>
            </w:r>
          </w:p>
          <w:p w14:paraId="4F4D40A9" w14:textId="38ACCE9E" w:rsidR="00FA47C0" w:rsidRPr="00FA47C0" w:rsidRDefault="00FA47C0" w:rsidP="00FA47C0">
            <w:pPr>
              <w:bidi/>
              <w:jc w:val="center"/>
              <w:rPr>
                <w:rFonts w:hint="cs"/>
                <w:rtl/>
                <w:lang w:val="en-US"/>
              </w:rPr>
            </w:pPr>
            <w:r>
              <w:rPr>
                <w:rFonts w:hint="cs"/>
                <w:rtl/>
                <w:lang w:val="en-US"/>
              </w:rPr>
              <w:t xml:space="preserve">לפי </w:t>
            </w:r>
            <w:r w:rsidRPr="00FA47C0">
              <w:rPr>
                <w:rFonts w:ascii="Segoe UI" w:hAnsi="Segoe UI" w:cs="Segoe UI"/>
                <w:color w:val="202122"/>
                <w:sz w:val="27"/>
                <w:szCs w:val="27"/>
                <w:shd w:val="clear" w:color="auto" w:fill="FFFFFF"/>
              </w:rPr>
              <w:t>Håstad</w:t>
            </w:r>
            <w:r>
              <w:rPr>
                <w:rFonts w:ascii="Segoe UI" w:hAnsi="Segoe UI" w:cs="Segoe UI"/>
                <w:color w:val="202122"/>
                <w:sz w:val="27"/>
                <w:szCs w:val="27"/>
                <w:shd w:val="clear" w:color="auto" w:fill="FFFFFF"/>
                <w:lang w:val="en-US"/>
              </w:rPr>
              <w:t xml:space="preserve"> </w:t>
            </w:r>
            <w:r>
              <w:rPr>
                <w:lang w:val="en-US"/>
              </w:rPr>
              <w:t>broadcast attack</w:t>
            </w:r>
            <w:r>
              <w:rPr>
                <w:rFonts w:hint="cs"/>
                <w:rtl/>
                <w:lang w:val="en-US"/>
              </w:rPr>
              <w:t xml:space="preserve">, כאשר שולח </w:t>
            </w:r>
            <w:proofErr w:type="spellStart"/>
            <w:r>
              <w:rPr>
                <w:rFonts w:hint="cs"/>
                <w:rtl/>
                <w:lang w:val="en-US"/>
              </w:rPr>
              <w:t>מסויים</w:t>
            </w:r>
            <w:proofErr w:type="spellEnd"/>
            <w:r>
              <w:rPr>
                <w:rFonts w:hint="cs"/>
                <w:rtl/>
                <w:lang w:val="en-US"/>
              </w:rPr>
              <w:t xml:space="preserve"> שולח הודעה ל</w:t>
            </w:r>
            <w:r>
              <w:rPr>
                <w:lang w:val="en-US"/>
              </w:rPr>
              <w:t xml:space="preserve">k </w:t>
            </w:r>
            <w:r>
              <w:rPr>
                <w:rFonts w:hint="cs"/>
                <w:rtl/>
                <w:lang w:val="en-US"/>
              </w:rPr>
              <w:t xml:space="preserve"> נמענים שונים כאשר לכולם אותה חזקה ציבורית </w:t>
            </w:r>
            <w:r>
              <w:rPr>
                <w:lang w:val="en-US"/>
              </w:rPr>
              <w:t>e</w:t>
            </w:r>
            <w:r>
              <w:rPr>
                <w:rFonts w:hint="cs"/>
                <w:rtl/>
                <w:lang w:val="en-US"/>
              </w:rPr>
              <w:t xml:space="preserve"> </w:t>
            </w:r>
            <w:proofErr w:type="spellStart"/>
            <w:r>
              <w:rPr>
                <w:rFonts w:hint="cs"/>
                <w:rtl/>
                <w:lang w:val="en-US"/>
              </w:rPr>
              <w:t>ומודולו</w:t>
            </w:r>
            <w:proofErr w:type="spellEnd"/>
            <w:r>
              <w:rPr>
                <w:rFonts w:hint="cs"/>
                <w:rtl/>
                <w:lang w:val="en-US"/>
              </w:rPr>
              <w:t xml:space="preserve"> שונה, לפי מודל התקיפה ברמה ש-</w:t>
            </w:r>
            <w:r>
              <w:rPr>
                <w:lang w:val="en-US"/>
              </w:rPr>
              <w:t xml:space="preserve"> k&gt;=3 </w:t>
            </w:r>
            <w:r>
              <w:rPr>
                <w:rFonts w:hint="cs"/>
                <w:rtl/>
                <w:lang w:val="en-US"/>
              </w:rPr>
              <w:t xml:space="preserve"> הצופן בעזרתו הצפינו את ההודעה ניתן לפיענוח. </w:t>
            </w:r>
          </w:p>
          <w:p w14:paraId="49933F5C" w14:textId="77777777" w:rsidR="00122A7B" w:rsidRDefault="00122A7B" w:rsidP="00122A7B">
            <w:pPr>
              <w:bidi/>
              <w:jc w:val="center"/>
              <w:rPr>
                <w:rtl/>
                <w:lang w:val="en-US"/>
              </w:rPr>
            </w:pPr>
          </w:p>
          <w:p w14:paraId="30F17FEA" w14:textId="47508717" w:rsidR="00122A7B" w:rsidRPr="00122A7B" w:rsidRDefault="00122A7B" w:rsidP="00FA47C0">
            <w:pPr>
              <w:bidi/>
              <w:jc w:val="center"/>
              <w:rPr>
                <w:rFonts w:hint="cs"/>
                <w:rtl/>
                <w:lang w:val="en-US"/>
              </w:rPr>
            </w:pPr>
            <w:r>
              <w:rPr>
                <w:rFonts w:hint="cs"/>
                <w:rtl/>
                <w:lang w:val="en-US"/>
              </w:rPr>
              <w:t xml:space="preserve">היות </w:t>
            </w:r>
            <w:r w:rsidR="00FA47C0">
              <w:rPr>
                <w:rFonts w:hint="cs"/>
                <w:rtl/>
                <w:lang w:val="en-US"/>
              </w:rPr>
              <w:t>ו</w:t>
            </w:r>
            <w:r>
              <w:rPr>
                <w:rFonts w:hint="cs"/>
                <w:rtl/>
                <w:lang w:val="en-US"/>
              </w:rPr>
              <w:t>מפתח ה</w:t>
            </w:r>
            <w:proofErr w:type="spellStart"/>
            <w:r>
              <w:rPr>
                <w:rFonts w:hint="cs"/>
                <w:rtl/>
                <w:lang w:val="en-US"/>
              </w:rPr>
              <w:t>aes</w:t>
            </w:r>
            <w:proofErr w:type="spellEnd"/>
            <w:r>
              <w:rPr>
                <w:rFonts w:hint="cs"/>
                <w:rtl/>
                <w:lang w:val="en-US"/>
              </w:rPr>
              <w:t xml:space="preserve"> מפתח קטן יחסית (128 סיביות) וגם המפתח הציבורי הנוצר הוא מפתח קטן יחסית, יחסית ניתן יותר בקלות לחשב את החזקה הציבורית </w:t>
            </w:r>
            <w:r>
              <w:rPr>
                <w:lang w:val="en-US"/>
              </w:rPr>
              <w:t>e</w:t>
            </w:r>
            <w:r>
              <w:rPr>
                <w:rFonts w:hint="cs"/>
                <w:rtl/>
                <w:lang w:val="en-US"/>
              </w:rPr>
              <w:t xml:space="preserve"> בעזרת שיטת </w:t>
            </w:r>
            <w:proofErr w:type="spellStart"/>
            <w:r>
              <w:rPr>
                <w:rFonts w:hint="cs"/>
                <w:rtl/>
                <w:lang w:val="en-US"/>
              </w:rPr>
              <w:t>קופר</w:t>
            </w:r>
            <w:r w:rsidR="00FA47C0">
              <w:rPr>
                <w:rFonts w:hint="cs"/>
                <w:rtl/>
                <w:lang w:val="en-US"/>
              </w:rPr>
              <w:t>סמית</w:t>
            </w:r>
            <w:proofErr w:type="spellEnd"/>
            <w:r w:rsidR="00FA47C0">
              <w:rPr>
                <w:rFonts w:hint="cs"/>
                <w:rtl/>
                <w:lang w:val="en-US"/>
              </w:rPr>
              <w:t xml:space="preserve">׳ </w:t>
            </w:r>
            <w:r w:rsidR="00FA47C0">
              <w:rPr>
                <w:lang w:val="en-US"/>
              </w:rPr>
              <w:t>(coppersmith method)</w:t>
            </w:r>
            <w:r>
              <w:rPr>
                <w:rFonts w:hint="cs"/>
                <w:rtl/>
                <w:lang w:val="en-US"/>
              </w:rPr>
              <w:t xml:space="preserve"> </w:t>
            </w:r>
          </w:p>
        </w:tc>
      </w:tr>
      <w:tr w:rsidR="00C1299C" w14:paraId="782040AB" w14:textId="77777777" w:rsidTr="00C1299C">
        <w:tc>
          <w:tcPr>
            <w:tcW w:w="2266" w:type="dxa"/>
          </w:tcPr>
          <w:p w14:paraId="0E94D355" w14:textId="0DC6422A" w:rsidR="00C1299C" w:rsidRDefault="00C1299C" w:rsidP="00C1299C">
            <w:pPr>
              <w:bidi/>
              <w:jc w:val="center"/>
              <w:rPr>
                <w:rFonts w:hint="cs"/>
                <w:rtl/>
                <w:lang w:val="en-US"/>
              </w:rPr>
            </w:pPr>
            <w:r>
              <w:rPr>
                <w:rFonts w:hint="cs"/>
                <w:rtl/>
                <w:lang w:val="en-US"/>
              </w:rPr>
              <w:t>תוצאה</w:t>
            </w:r>
          </w:p>
        </w:tc>
        <w:tc>
          <w:tcPr>
            <w:tcW w:w="7084" w:type="dxa"/>
          </w:tcPr>
          <w:p w14:paraId="7E7C0D89" w14:textId="2DE74809" w:rsidR="00C1299C" w:rsidRDefault="006B4874" w:rsidP="00C1299C">
            <w:pPr>
              <w:bidi/>
              <w:jc w:val="center"/>
              <w:rPr>
                <w:rFonts w:hint="cs"/>
                <w:rtl/>
                <w:lang w:val="en-US"/>
              </w:rPr>
            </w:pPr>
            <w:r>
              <w:rPr>
                <w:rFonts w:hint="cs"/>
                <w:rtl/>
                <w:lang w:val="en-US"/>
              </w:rPr>
              <w:t>פגיעה בפרטיות הלקוח</w:t>
            </w:r>
          </w:p>
        </w:tc>
      </w:tr>
      <w:tr w:rsidR="00C1299C" w14:paraId="7BE41169" w14:textId="77777777" w:rsidTr="00C1299C">
        <w:tc>
          <w:tcPr>
            <w:tcW w:w="2266" w:type="dxa"/>
          </w:tcPr>
          <w:p w14:paraId="085DE2BA" w14:textId="76470EFC" w:rsidR="00C1299C" w:rsidRDefault="00C1299C" w:rsidP="00C1299C">
            <w:pPr>
              <w:bidi/>
              <w:jc w:val="center"/>
              <w:rPr>
                <w:rFonts w:hint="cs"/>
                <w:rtl/>
                <w:lang w:val="en-US"/>
              </w:rPr>
            </w:pPr>
            <w:r>
              <w:rPr>
                <w:rFonts w:hint="cs"/>
                <w:rtl/>
                <w:lang w:val="en-US"/>
              </w:rPr>
              <w:t>דרישות מקדימות</w:t>
            </w:r>
          </w:p>
        </w:tc>
        <w:tc>
          <w:tcPr>
            <w:tcW w:w="7084" w:type="dxa"/>
          </w:tcPr>
          <w:p w14:paraId="14CF9DC3" w14:textId="23E2C0BE" w:rsidR="00C1299C" w:rsidRDefault="006B4874" w:rsidP="00C1299C">
            <w:pPr>
              <w:bidi/>
              <w:jc w:val="center"/>
              <w:rPr>
                <w:rFonts w:hint="cs"/>
                <w:rtl/>
                <w:lang w:val="en-US"/>
              </w:rPr>
            </w:pPr>
            <w:r>
              <w:rPr>
                <w:rFonts w:hint="cs"/>
                <w:rtl/>
                <w:lang w:val="en-US"/>
              </w:rPr>
              <w:t>האזנה ל</w:t>
            </w:r>
            <w:r>
              <w:rPr>
                <w:lang w:val="en-US"/>
              </w:rPr>
              <w:t xml:space="preserve">port </w:t>
            </w:r>
            <w:r>
              <w:rPr>
                <w:rFonts w:hint="cs"/>
                <w:rtl/>
                <w:lang w:val="en-US"/>
              </w:rPr>
              <w:t xml:space="preserve"> ול-</w:t>
            </w:r>
            <w:proofErr w:type="spellStart"/>
            <w:r>
              <w:rPr>
                <w:lang w:val="en-US"/>
              </w:rPr>
              <w:t>ip</w:t>
            </w:r>
            <w:proofErr w:type="spellEnd"/>
            <w:r>
              <w:rPr>
                <w:rFonts w:hint="cs"/>
                <w:rtl/>
                <w:lang w:val="en-US"/>
              </w:rPr>
              <w:t xml:space="preserve"> של השרת, הכרת מבנה ההודעות ויכולת התחזות מלאה</w:t>
            </w:r>
            <w:r w:rsidR="00122A7B">
              <w:rPr>
                <w:rFonts w:hint="cs"/>
                <w:rtl/>
                <w:lang w:val="en-US"/>
              </w:rPr>
              <w:t xml:space="preserve"> מתחילת הקמת התקשורת (כיוון שהחלפת המפתחות קוראת רק בהתחלה)</w:t>
            </w:r>
            <w:r w:rsidR="00FA47C0">
              <w:rPr>
                <w:lang w:val="en-US"/>
              </w:rPr>
              <w:t xml:space="preserve"> </w:t>
            </w:r>
            <w:r w:rsidR="00FA47C0">
              <w:rPr>
                <w:rFonts w:hint="cs"/>
                <w:rtl/>
                <w:lang w:val="en-US"/>
              </w:rPr>
              <w:t xml:space="preserve"> או כוח עיבוד גבוהה ומהיר יחסית</w:t>
            </w:r>
          </w:p>
        </w:tc>
      </w:tr>
      <w:tr w:rsidR="00C1299C" w14:paraId="2BD7AA2B" w14:textId="77777777" w:rsidTr="00C1299C">
        <w:tc>
          <w:tcPr>
            <w:tcW w:w="2266" w:type="dxa"/>
          </w:tcPr>
          <w:p w14:paraId="777CE599" w14:textId="2A6ED19B" w:rsidR="00C1299C" w:rsidRDefault="00C1299C" w:rsidP="00C1299C">
            <w:pPr>
              <w:bidi/>
              <w:jc w:val="center"/>
              <w:rPr>
                <w:rFonts w:hint="cs"/>
                <w:rtl/>
                <w:lang w:val="en-US"/>
              </w:rPr>
            </w:pPr>
            <w:r>
              <w:rPr>
                <w:rFonts w:hint="cs"/>
                <w:rtl/>
                <w:lang w:val="en-US"/>
              </w:rPr>
              <w:t>השפעה עסקית</w:t>
            </w:r>
          </w:p>
        </w:tc>
        <w:tc>
          <w:tcPr>
            <w:tcW w:w="7084" w:type="dxa"/>
          </w:tcPr>
          <w:p w14:paraId="0D81138C" w14:textId="75D96D7A" w:rsidR="00C1299C" w:rsidRDefault="006B4874" w:rsidP="00C1299C">
            <w:pPr>
              <w:bidi/>
              <w:jc w:val="center"/>
              <w:rPr>
                <w:rFonts w:hint="cs"/>
                <w:rtl/>
                <w:lang w:val="en-US"/>
              </w:rPr>
            </w:pPr>
            <w:r>
              <w:rPr>
                <w:rFonts w:hint="cs"/>
                <w:rtl/>
                <w:lang w:val="en-US"/>
              </w:rPr>
              <w:t>חמורה</w:t>
            </w:r>
          </w:p>
        </w:tc>
      </w:tr>
      <w:tr w:rsidR="00C1299C" w14:paraId="37F71678" w14:textId="77777777" w:rsidTr="00C1299C">
        <w:tc>
          <w:tcPr>
            <w:tcW w:w="2266" w:type="dxa"/>
          </w:tcPr>
          <w:p w14:paraId="1DB7948A" w14:textId="21E8DE72" w:rsidR="00C1299C" w:rsidRDefault="00C1299C" w:rsidP="00C1299C">
            <w:pPr>
              <w:bidi/>
              <w:jc w:val="center"/>
              <w:rPr>
                <w:rFonts w:hint="cs"/>
                <w:rtl/>
                <w:lang w:val="en-US"/>
              </w:rPr>
            </w:pPr>
            <w:r>
              <w:rPr>
                <w:rFonts w:hint="cs"/>
                <w:rtl/>
                <w:lang w:val="en-US"/>
              </w:rPr>
              <w:t>תיקון מוצע</w:t>
            </w:r>
          </w:p>
        </w:tc>
        <w:tc>
          <w:tcPr>
            <w:tcW w:w="7084" w:type="dxa"/>
          </w:tcPr>
          <w:p w14:paraId="21408E72" w14:textId="77777777" w:rsidR="00C1299C" w:rsidRDefault="003D691D" w:rsidP="00C1299C">
            <w:pPr>
              <w:bidi/>
              <w:jc w:val="center"/>
              <w:rPr>
                <w:rtl/>
                <w:lang w:val="en-US"/>
              </w:rPr>
            </w:pPr>
            <w:r>
              <w:rPr>
                <w:rFonts w:hint="cs"/>
                <w:rtl/>
                <w:lang w:val="en-US"/>
              </w:rPr>
              <w:t>שימוש בריפוד רנדומלי של התוכן בעת קריאתו ולא רק בסוף או בהתחלה כמו שמבוצע כיום.</w:t>
            </w:r>
          </w:p>
          <w:p w14:paraId="52BED347" w14:textId="77777777" w:rsidR="003D691D" w:rsidRDefault="003D691D" w:rsidP="003D691D">
            <w:pPr>
              <w:bidi/>
              <w:jc w:val="center"/>
              <w:rPr>
                <w:rtl/>
                <w:lang w:val="en-US"/>
              </w:rPr>
            </w:pPr>
            <w:r>
              <w:rPr>
                <w:rFonts w:hint="cs"/>
                <w:rtl/>
                <w:lang w:val="en-US"/>
              </w:rPr>
              <w:t xml:space="preserve">שימוש במפתחות ארוכים יותר (מפתח פרטי </w:t>
            </w:r>
            <w:r>
              <w:rPr>
                <w:lang w:val="en-US"/>
              </w:rPr>
              <w:t>4096</w:t>
            </w:r>
            <w:r>
              <w:rPr>
                <w:rFonts w:hint="cs"/>
                <w:rtl/>
                <w:lang w:val="en-US"/>
              </w:rPr>
              <w:t xml:space="preserve"> סיביות ו-</w:t>
            </w:r>
            <w:r>
              <w:rPr>
                <w:lang w:val="en-US"/>
              </w:rPr>
              <w:t xml:space="preserve">256 </w:t>
            </w:r>
            <w:r>
              <w:rPr>
                <w:rFonts w:hint="cs"/>
                <w:rtl/>
                <w:lang w:val="en-US"/>
              </w:rPr>
              <w:t xml:space="preserve"> סיביות עבור המפתח הסימטרי).</w:t>
            </w:r>
          </w:p>
          <w:p w14:paraId="26CA3F9C" w14:textId="60B74006" w:rsidR="003D691D" w:rsidRPr="003D691D" w:rsidRDefault="003D691D" w:rsidP="003D691D">
            <w:pPr>
              <w:bidi/>
              <w:jc w:val="center"/>
              <w:rPr>
                <w:rFonts w:hint="cs"/>
                <w:rtl/>
                <w:lang w:val="en-US"/>
              </w:rPr>
            </w:pPr>
            <w:r>
              <w:rPr>
                <w:rFonts w:hint="cs"/>
                <w:rtl/>
                <w:lang w:val="en-US"/>
              </w:rPr>
              <w:t xml:space="preserve">בהינתן כישלון בחישוב ה- </w:t>
            </w:r>
            <w:proofErr w:type="spellStart"/>
            <w:r>
              <w:rPr>
                <w:lang w:val="en-US"/>
              </w:rPr>
              <w:t>crc</w:t>
            </w:r>
            <w:proofErr w:type="spellEnd"/>
            <w:r>
              <w:rPr>
                <w:rFonts w:hint="cs"/>
                <w:rtl/>
                <w:lang w:val="en-US"/>
              </w:rPr>
              <w:t xml:space="preserve"> בצד השרת עליו לייצר מפתח סימטרי חדש, להצפין אותו עם המפתח הציבורי של הלקוח ולשלוח ללקוח יחד עם תשובה הכישלון, ועל הלקוח במצב זה להצפין את התוכן מחדש עם המפתח החדש. </w:t>
            </w:r>
          </w:p>
        </w:tc>
      </w:tr>
      <w:tr w:rsidR="00C1299C" w14:paraId="634BEA13" w14:textId="77777777" w:rsidTr="00C1299C">
        <w:tc>
          <w:tcPr>
            <w:tcW w:w="2266" w:type="dxa"/>
          </w:tcPr>
          <w:p w14:paraId="3E02B419" w14:textId="4684DDA9" w:rsidR="00C1299C" w:rsidRDefault="00C1299C" w:rsidP="00C1299C">
            <w:pPr>
              <w:bidi/>
              <w:jc w:val="center"/>
              <w:rPr>
                <w:rFonts w:hint="cs"/>
                <w:rtl/>
                <w:lang w:val="en-US"/>
              </w:rPr>
            </w:pPr>
            <w:r>
              <w:rPr>
                <w:rFonts w:hint="cs"/>
                <w:rtl/>
                <w:lang w:val="en-US"/>
              </w:rPr>
              <w:t>סיכון</w:t>
            </w:r>
          </w:p>
        </w:tc>
        <w:tc>
          <w:tcPr>
            <w:tcW w:w="7084" w:type="dxa"/>
          </w:tcPr>
          <w:p w14:paraId="2799A796" w14:textId="7CB6E2E7" w:rsidR="00C1299C" w:rsidRDefault="003D691D" w:rsidP="00C1299C">
            <w:pPr>
              <w:bidi/>
              <w:jc w:val="center"/>
              <w:rPr>
                <w:rtl/>
                <w:lang w:val="en-US"/>
              </w:rPr>
            </w:pPr>
            <w:r>
              <w:rPr>
                <w:rFonts w:hint="cs"/>
                <w:rtl/>
                <w:lang w:val="en-US"/>
              </w:rPr>
              <w:t>פוטנציאל נזק: 9</w:t>
            </w:r>
          </w:p>
          <w:p w14:paraId="588C6E34" w14:textId="13E5B1F9" w:rsidR="003D691D" w:rsidRDefault="003D691D" w:rsidP="003D691D">
            <w:pPr>
              <w:bidi/>
              <w:jc w:val="center"/>
              <w:rPr>
                <w:rtl/>
                <w:lang w:val="en-US"/>
              </w:rPr>
            </w:pPr>
            <w:r>
              <w:rPr>
                <w:rFonts w:hint="cs"/>
                <w:rtl/>
                <w:lang w:val="en-US"/>
              </w:rPr>
              <w:t xml:space="preserve">יכולת שיחזור: </w:t>
            </w:r>
            <w:r>
              <w:rPr>
                <w:lang w:val="en-US"/>
              </w:rPr>
              <w:t>7</w:t>
            </w:r>
          </w:p>
          <w:p w14:paraId="4802C366" w14:textId="79528DFA" w:rsidR="003D691D" w:rsidRDefault="003D691D" w:rsidP="003D691D">
            <w:pPr>
              <w:bidi/>
              <w:jc w:val="center"/>
              <w:rPr>
                <w:lang w:val="en-US"/>
              </w:rPr>
            </w:pPr>
            <w:r>
              <w:rPr>
                <w:rFonts w:hint="cs"/>
                <w:rtl/>
                <w:lang w:val="en-US"/>
              </w:rPr>
              <w:t>יכול לממש את התקיפה: 4</w:t>
            </w:r>
          </w:p>
          <w:p w14:paraId="405C5D4E" w14:textId="5735D817" w:rsidR="003D691D" w:rsidRDefault="003D691D" w:rsidP="003D691D">
            <w:pPr>
              <w:bidi/>
              <w:jc w:val="center"/>
              <w:rPr>
                <w:rtl/>
                <w:lang w:val="en-US"/>
              </w:rPr>
            </w:pPr>
            <w:r>
              <w:rPr>
                <w:rFonts w:hint="cs"/>
                <w:rtl/>
                <w:lang w:val="en-US"/>
              </w:rPr>
              <w:t>לקוחות מושפעים: 8</w:t>
            </w:r>
          </w:p>
          <w:p w14:paraId="47EE9D40" w14:textId="3EA75116" w:rsidR="003D691D" w:rsidRDefault="003D691D" w:rsidP="003D691D">
            <w:pPr>
              <w:bidi/>
              <w:jc w:val="center"/>
              <w:rPr>
                <w:rtl/>
                <w:lang w:val="en-US"/>
              </w:rPr>
            </w:pPr>
            <w:r>
              <w:rPr>
                <w:rFonts w:hint="cs"/>
                <w:rtl/>
                <w:lang w:val="en-US"/>
              </w:rPr>
              <w:t>יכולת גילוי הפרצה: 9</w:t>
            </w:r>
          </w:p>
          <w:p w14:paraId="08C406F7" w14:textId="17CA853B" w:rsidR="003D691D" w:rsidRDefault="003D691D" w:rsidP="003D691D">
            <w:pPr>
              <w:bidi/>
              <w:jc w:val="center"/>
              <w:rPr>
                <w:rFonts w:hint="cs"/>
                <w:rtl/>
                <w:lang w:val="en-US"/>
              </w:rPr>
            </w:pPr>
            <w:proofErr w:type="spellStart"/>
            <w:r>
              <w:rPr>
                <w:rFonts w:hint="cs"/>
                <w:rtl/>
                <w:lang w:val="en-US"/>
              </w:rPr>
              <w:t>סהכ</w:t>
            </w:r>
            <w:proofErr w:type="spellEnd"/>
            <w:r>
              <w:rPr>
                <w:rFonts w:hint="cs"/>
                <w:rtl/>
                <w:lang w:val="en-US"/>
              </w:rPr>
              <w:t>:</w:t>
            </w:r>
            <w:r>
              <w:rPr>
                <w:lang w:val="en-US"/>
              </w:rPr>
              <w:t xml:space="preserve"> 7.2</w:t>
            </w:r>
          </w:p>
        </w:tc>
      </w:tr>
    </w:tbl>
    <w:p w14:paraId="79360DCE" w14:textId="3BC135E3" w:rsidR="00C1299C" w:rsidRDefault="00C1299C" w:rsidP="00C1299C">
      <w:pPr>
        <w:bidi/>
        <w:jc w:val="center"/>
        <w:rPr>
          <w:rtl/>
          <w:lang w:val="en-US"/>
        </w:rPr>
      </w:pPr>
    </w:p>
    <w:p w14:paraId="7E3D1D5A" w14:textId="77777777" w:rsidR="00122A7B" w:rsidRPr="00C1299C" w:rsidRDefault="00122A7B" w:rsidP="00122A7B">
      <w:pPr>
        <w:bidi/>
        <w:jc w:val="center"/>
        <w:rPr>
          <w:rFonts w:hint="cs"/>
          <w:rtl/>
          <w:lang w:val="en-US"/>
        </w:rPr>
      </w:pPr>
    </w:p>
    <w:sectPr w:rsidR="00122A7B" w:rsidRPr="00C12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9C"/>
    <w:rsid w:val="00122A7B"/>
    <w:rsid w:val="003D691D"/>
    <w:rsid w:val="006B4874"/>
    <w:rsid w:val="008C170C"/>
    <w:rsid w:val="009F1D0C"/>
    <w:rsid w:val="00B6741C"/>
    <w:rsid w:val="00C1299C"/>
    <w:rsid w:val="00D01BC3"/>
    <w:rsid w:val="00FA47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D8652CF"/>
  <w15:chartTrackingRefBased/>
  <w15:docId w15:val="{2EDBFB41-7165-304F-9D2E-073CC867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02F7-1F68-784E-9940-FB3B8DBB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mily topal</dc:creator>
  <cp:keywords/>
  <dc:description/>
  <cp:lastModifiedBy>mily topal</cp:lastModifiedBy>
  <cp:revision>1</cp:revision>
  <dcterms:created xsi:type="dcterms:W3CDTF">2022-11-21T00:12:00Z</dcterms:created>
  <dcterms:modified xsi:type="dcterms:W3CDTF">2022-11-21T01:13:00Z</dcterms:modified>
</cp:coreProperties>
</file>