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341"/>
        <w:gridCol w:w="1426"/>
      </w:tblGrid>
      <w:tr>
        <w:trPr>
          <w:trHeight w:val="63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239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your age?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10–12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(22%)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13–15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 (26%)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16–18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 (30%)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Above 18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(23%)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your sex?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 (54%)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 (46%)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Where do you live?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133 (56%)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 (44%)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your main source of reproductive health information?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Doctor/Health Worker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(4.6%)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Friends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(15%)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Internet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 (15%)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 (32%)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 (31%)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Television/Radio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(2.9%)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your father's educational qualification?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Graduate or above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(13%)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Higher 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 (22%)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formal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(21%)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(22%)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(23%)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your mother's educational qualification?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Graduate or above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(6.7%)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Higher 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 (20%)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formal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(18%)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 (23%)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 (32%)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type of school do you study in?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Government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 (50%)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Madrasa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(19%)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(6.7%)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Private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(24%)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Who do you live with?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Father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(5.4%)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Mother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(14%)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(7.5%)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155 (65%)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Relatives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(7.9%)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your family's monthly income?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15,000–30,000 BDT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 (32%)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30,001–50,000 BDT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 (25%)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Above 50,000 BDT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(10%)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Below 15,000 BDT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 (33%)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2026-09-23T19:13:08Z</dcterms:modified>
  <cp:category/>
</cp:coreProperties>
</file>