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96"/>
          <w:szCs w:val="96"/>
          <w:rtl w:val="0"/>
        </w:rPr>
        <w:t xml:space="preserve">ISMIR 201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NewRoman" w:cs="TimesNewRoman" w:eastAsia="TimesNewRoman" w:hAnsi="TimesNewRoman"/>
          <w:b w:val="1"/>
          <w:smallCaps w:val="0"/>
          <w:sz w:val="40"/>
          <w:szCs w:val="40"/>
          <w:rtl w:val="0"/>
        </w:rPr>
        <w:t xml:space="preserve">Proceedings of the 1</w:t>
      </w:r>
      <w:r w:rsidDel="00000000" w:rsidR="00000000" w:rsidRPr="00000000">
        <w:rPr>
          <w:rFonts w:ascii="TimesNewRoman" w:cs="TimesNewRoman" w:eastAsia="TimesNewRoman" w:hAnsi="TimesNewRoman"/>
          <w:b w:val="1"/>
          <w:sz w:val="40"/>
          <w:szCs w:val="40"/>
          <w:rtl w:val="0"/>
        </w:rPr>
        <w:t xml:space="preserve">7</w:t>
      </w:r>
      <w:r w:rsidDel="00000000" w:rsidR="00000000" w:rsidRPr="00000000">
        <w:rPr>
          <w:rFonts w:ascii="TimesNewRoman" w:cs="TimesNewRoman" w:eastAsia="TimesNewRoman" w:hAnsi="TimesNewRoman"/>
          <w:b w:val="1"/>
          <w:smallCaps w:val="0"/>
          <w:sz w:val="40"/>
          <w:szCs w:val="40"/>
          <w:rtl w:val="0"/>
        </w:rPr>
        <w:t xml:space="preserve">th International Society</w:t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</w:pPr>
      <w:r w:rsidDel="00000000" w:rsidR="00000000" w:rsidRPr="00000000">
        <w:rPr>
          <w:rFonts w:ascii="TimesNewRoman" w:cs="TimesNewRoman" w:eastAsia="TimesNewRoman" w:hAnsi="TimesNewRoman"/>
          <w:b w:val="1"/>
          <w:smallCaps w:val="0"/>
          <w:sz w:val="40"/>
          <w:szCs w:val="40"/>
          <w:rtl w:val="0"/>
        </w:rPr>
        <w:t xml:space="preserve">for Music Information Retrieval Conference</w:t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36"/>
        <w:tblGridChange w:id="0">
          <w:tblGrid>
            <w:gridCol w:w="923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pacing w:after="0" w:line="24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4285774" cy="2121217"/>
                  <wp:effectExtent b="0" l="0" r="0" t="0"/>
                  <wp:docPr descr="ismir2016_logo_highres.png" id="1" name="image01.png"/>
                  <a:graphic>
                    <a:graphicData uri="http://schemas.openxmlformats.org/drawingml/2006/picture">
                      <pic:pic>
                        <pic:nvPicPr>
                          <pic:cNvPr descr="ismir2016_logo_highres.png" id="0" name="image01.png"/>
                          <pic:cNvPicPr preferRelativeResize="0"/>
                        </pic:nvPicPr>
                        <pic:blipFill>
                          <a:blip r:embed="rId5"/>
                          <a:srcRect b="3076" l="0" r="0" t="30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74" cy="21212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40"/>
          <w:szCs w:val="40"/>
          <w:rtl w:val="0"/>
        </w:rPr>
        <w:t xml:space="preserve">August 7 - 11,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40"/>
          <w:szCs w:val="40"/>
          <w:rtl w:val="0"/>
        </w:rPr>
        <w:t xml:space="preserve">New York City,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NewRoman" w:cs="TimesNewRoman" w:eastAsia="TimesNewRoman" w:hAnsi="TimesNewRoman"/>
          <w:b w:val="1"/>
          <w:smallCaps w:val="0"/>
          <w:sz w:val="32"/>
          <w:szCs w:val="32"/>
          <w:rtl w:val="0"/>
        </w:rPr>
        <w:t xml:space="preserve">Edited by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NewRoman" w:cs="TimesNewRoman" w:eastAsia="TimesNewRoman" w:hAnsi="TimesNewRoman"/>
          <w:b w:val="1"/>
          <w:sz w:val="32"/>
          <w:szCs w:val="32"/>
          <w:rtl w:val="0"/>
        </w:rPr>
        <w:t xml:space="preserve">Johanna Devaney, Michael I Mandel, Douglas Turnbull, and George Tzanetakis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Verdana"/>
  <w:font w:name="TimesNew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Cambria" w:cs="Cambria" w:eastAsia="Cambria" w:hAnsi="Cambria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Cambria" w:cs="Cambria" w:eastAsia="Cambria" w:hAnsi="Cambria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spacing w:after="100" w:before="100" w:line="240" w:lineRule="auto"/>
      <w:contextualSpacing w:val="1"/>
    </w:pPr>
    <w:rPr>
      <w:rFonts w:ascii="Times New Roman" w:cs="Times New Roman" w:eastAsia="Times New Roman" w:hAnsi="Times New Roman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