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mallCaps w:val="0"/>
          <w:sz w:val="48"/>
          <w:szCs w:val="48"/>
          <w:rtl w:val="0"/>
        </w:rPr>
        <w:t xml:space="preserve">Preface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It is our great pleasure to welcome you to the 17th Conference of the International Society for Music Information Retrieval (ISMIR 2016). The annual ISMIR conference is the world’s leading research forum on processing, analyzing, searching, organizing, and accessing music-related data. This year’s conference, which takes place in New York City, USA, from August 7 to 11, 2016, is organized by New York University and Columbia University.</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color w:val="000000"/>
          <w:sz w:val="24"/>
          <w:szCs w:val="24"/>
          <w:rtl w:val="0"/>
        </w:rPr>
        <w:t xml:space="preserve">The present volume contains the complete manuscripts of all the peer</w:t>
      </w:r>
      <w:r w:rsidDel="00000000" w:rsidR="00000000" w:rsidRPr="00000000">
        <w:rPr>
          <w:rFonts w:ascii="Cambria" w:cs="Cambria" w:eastAsia="Cambria" w:hAnsi="Cambria"/>
          <w:smallCaps w:val="0"/>
          <w:color w:val="000000"/>
          <w:sz w:val="24"/>
          <w:szCs w:val="24"/>
          <w:rtl w:val="0"/>
        </w:rPr>
        <w:t xml:space="preserve">‐</w:t>
      </w:r>
      <w:r w:rsidDel="00000000" w:rsidR="00000000" w:rsidRPr="00000000">
        <w:rPr>
          <w:rFonts w:ascii="Times New Roman" w:cs="Times New Roman" w:eastAsia="Times New Roman" w:hAnsi="Times New Roman"/>
          <w:smallCaps w:val="0"/>
          <w:color w:val="000000"/>
          <w:sz w:val="24"/>
          <w:szCs w:val="24"/>
          <w:rtl w:val="0"/>
        </w:rPr>
        <w:t xml:space="preserve">reviewed papers presented at ISMIR 201</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mallCaps w:val="0"/>
          <w:color w:val="000000"/>
          <w:sz w:val="24"/>
          <w:szCs w:val="24"/>
          <w:rtl w:val="0"/>
        </w:rPr>
        <w:t xml:space="preserve">. A total of 2</w:t>
      </w:r>
      <w:r w:rsidDel="00000000" w:rsidR="00000000" w:rsidRPr="00000000">
        <w:rPr>
          <w:rFonts w:ascii="Times New Roman" w:cs="Times New Roman" w:eastAsia="Times New Roman" w:hAnsi="Times New Roman"/>
          <w:sz w:val="24"/>
          <w:szCs w:val="24"/>
          <w:rtl w:val="0"/>
        </w:rPr>
        <w:t xml:space="preserve">87</w:t>
      </w:r>
      <w:r w:rsidDel="00000000" w:rsidR="00000000" w:rsidRPr="00000000">
        <w:rPr>
          <w:rFonts w:ascii="Times New Roman" w:cs="Times New Roman" w:eastAsia="Times New Roman" w:hAnsi="Times New Roman"/>
          <w:smallCaps w:val="0"/>
          <w:color w:val="000000"/>
          <w:sz w:val="24"/>
          <w:szCs w:val="24"/>
          <w:rtl w:val="0"/>
        </w:rPr>
        <w:t xml:space="preserve"> submissions were received before the deadline, out of which 2</w:t>
      </w:r>
      <w:r w:rsidDel="00000000" w:rsidR="00000000" w:rsidRPr="00000000">
        <w:rPr>
          <w:rFonts w:ascii="Times New Roman" w:cs="Times New Roman" w:eastAsia="Times New Roman" w:hAnsi="Times New Roman"/>
          <w:sz w:val="24"/>
          <w:szCs w:val="24"/>
          <w:rtl w:val="0"/>
        </w:rPr>
        <w:t xml:space="preserve">38</w:t>
      </w:r>
      <w:r w:rsidDel="00000000" w:rsidR="00000000" w:rsidRPr="00000000">
        <w:rPr>
          <w:rFonts w:ascii="Times New Roman" w:cs="Times New Roman" w:eastAsia="Times New Roman" w:hAnsi="Times New Roman"/>
          <w:smallCaps w:val="0"/>
          <w:color w:val="000000"/>
          <w:sz w:val="24"/>
          <w:szCs w:val="24"/>
          <w:rtl w:val="0"/>
        </w:rPr>
        <w:t xml:space="preserve"> complete and well</w:t>
      </w:r>
      <w:r w:rsidDel="00000000" w:rsidR="00000000" w:rsidRPr="00000000">
        <w:rPr>
          <w:rFonts w:ascii="Cambria" w:cs="Cambria" w:eastAsia="Cambria" w:hAnsi="Cambria"/>
          <w:smallCaps w:val="0"/>
          <w:color w:val="000000"/>
          <w:sz w:val="24"/>
          <w:szCs w:val="24"/>
          <w:rtl w:val="0"/>
        </w:rPr>
        <w:t xml:space="preserve">‐</w:t>
      </w:r>
      <w:r w:rsidDel="00000000" w:rsidR="00000000" w:rsidRPr="00000000">
        <w:rPr>
          <w:rFonts w:ascii="Times New Roman" w:cs="Times New Roman" w:eastAsia="Times New Roman" w:hAnsi="Times New Roman"/>
          <w:smallCaps w:val="0"/>
          <w:color w:val="000000"/>
          <w:sz w:val="24"/>
          <w:szCs w:val="24"/>
          <w:rtl w:val="0"/>
        </w:rPr>
        <w:t xml:space="preserve">formatted papers entered the review process. Special care was taken to assemble an experienced and interdisciplinary review panel including people from many different institutions worldwide. As in previous years, the reviews were double</w:t>
      </w:r>
      <w:r w:rsidDel="00000000" w:rsidR="00000000" w:rsidRPr="00000000">
        <w:rPr>
          <w:rFonts w:ascii="Cambria" w:cs="Cambria" w:eastAsia="Cambria" w:hAnsi="Cambria"/>
          <w:smallCaps w:val="0"/>
          <w:color w:val="000000"/>
          <w:sz w:val="24"/>
          <w:szCs w:val="24"/>
          <w:rtl w:val="0"/>
        </w:rPr>
        <w:t xml:space="preserve">‐</w:t>
      </w:r>
      <w:r w:rsidDel="00000000" w:rsidR="00000000" w:rsidRPr="00000000">
        <w:rPr>
          <w:rFonts w:ascii="Times New Roman" w:cs="Times New Roman" w:eastAsia="Times New Roman" w:hAnsi="Times New Roman"/>
          <w:smallCaps w:val="0"/>
          <w:color w:val="000000"/>
          <w:sz w:val="24"/>
          <w:szCs w:val="24"/>
          <w:rtl w:val="0"/>
        </w:rPr>
        <w:t xml:space="preserve">blinded (i.e., both the authors and the reviewers were anonymous) with a two</w:t>
      </w:r>
      <w:r w:rsidDel="00000000" w:rsidR="00000000" w:rsidRPr="00000000">
        <w:rPr>
          <w:rFonts w:ascii="Cambria" w:cs="Cambria" w:eastAsia="Cambria" w:hAnsi="Cambria"/>
          <w:smallCaps w:val="0"/>
          <w:color w:val="000000"/>
          <w:sz w:val="24"/>
          <w:szCs w:val="24"/>
          <w:rtl w:val="0"/>
        </w:rPr>
        <w:t xml:space="preserve">‐</w:t>
      </w:r>
      <w:r w:rsidDel="00000000" w:rsidR="00000000" w:rsidRPr="00000000">
        <w:rPr>
          <w:rFonts w:ascii="Times New Roman" w:cs="Times New Roman" w:eastAsia="Times New Roman" w:hAnsi="Times New Roman"/>
          <w:smallCaps w:val="0"/>
          <w:color w:val="000000"/>
          <w:sz w:val="24"/>
          <w:szCs w:val="24"/>
          <w:rtl w:val="0"/>
        </w:rPr>
        <w:t xml:space="preserve">tier review model involving a pool of 2</w:t>
      </w:r>
      <w:r w:rsidDel="00000000" w:rsidR="00000000" w:rsidRPr="00000000">
        <w:rPr>
          <w:rFonts w:ascii="Times New Roman" w:cs="Times New Roman" w:eastAsia="Times New Roman" w:hAnsi="Times New Roman"/>
          <w:sz w:val="24"/>
          <w:szCs w:val="24"/>
          <w:rtl w:val="0"/>
        </w:rPr>
        <w:t xml:space="preserve">83</w:t>
      </w:r>
      <w:r w:rsidDel="00000000" w:rsidR="00000000" w:rsidRPr="00000000">
        <w:rPr>
          <w:rFonts w:ascii="Times New Roman" w:cs="Times New Roman" w:eastAsia="Times New Roman" w:hAnsi="Times New Roman"/>
          <w:smallCaps w:val="0"/>
          <w:color w:val="000000"/>
          <w:sz w:val="24"/>
          <w:szCs w:val="24"/>
          <w:rtl w:val="0"/>
        </w:rPr>
        <w:t xml:space="preserve"> reviewer</w:t>
      </w:r>
      <w:r w:rsidDel="00000000" w:rsidR="00000000" w:rsidRPr="00000000">
        <w:rPr>
          <w:rFonts w:ascii="Times New Roman" w:cs="Times New Roman" w:eastAsia="Times New Roman" w:hAnsi="Times New Roman"/>
          <w:sz w:val="24"/>
          <w:szCs w:val="24"/>
          <w:rtl w:val="0"/>
        </w:rPr>
        <w:t xml:space="preserve">s, including a</w:t>
      </w:r>
      <w:r w:rsidDel="00000000" w:rsidR="00000000" w:rsidRPr="00000000">
        <w:rPr>
          <w:rFonts w:ascii="Times New Roman" w:cs="Times New Roman" w:eastAsia="Times New Roman" w:hAnsi="Times New Roman"/>
          <w:smallCaps w:val="0"/>
          <w:color w:val="000000"/>
          <w:sz w:val="24"/>
          <w:szCs w:val="24"/>
          <w:rtl w:val="0"/>
        </w:rPr>
        <w:t xml:space="preserve"> program committee </w:t>
      </w:r>
      <w:r w:rsidDel="00000000" w:rsidR="00000000" w:rsidRPr="00000000">
        <w:rPr>
          <w:rFonts w:ascii="Times New Roman" w:cs="Times New Roman" w:eastAsia="Times New Roman" w:hAnsi="Times New Roman"/>
          <w:sz w:val="24"/>
          <w:szCs w:val="24"/>
          <w:rtl w:val="0"/>
        </w:rPr>
        <w:t xml:space="preserve">of 59 members</w:t>
      </w:r>
      <w:r w:rsidDel="00000000" w:rsidR="00000000" w:rsidRPr="00000000">
        <w:rPr>
          <w:rFonts w:ascii="Times New Roman" w:cs="Times New Roman" w:eastAsia="Times New Roman" w:hAnsi="Times New Roman"/>
          <w:smallCaps w:val="0"/>
          <w:color w:val="000000"/>
          <w:sz w:val="24"/>
          <w:szCs w:val="24"/>
          <w:rtl w:val="0"/>
        </w:rPr>
        <w:t xml:space="preserve">. Each paper was assigned to a PC member and three reviewers. Reviewer assignments were based on topic preferences, bids, and PC member assignments. After the review phase, PC members and reviewers entered a (name</w:t>
      </w:r>
      <w:r w:rsidDel="00000000" w:rsidR="00000000" w:rsidRPr="00000000">
        <w:rPr>
          <w:rFonts w:ascii="Cambria" w:cs="Cambria" w:eastAsia="Cambria" w:hAnsi="Cambria"/>
          <w:smallCaps w:val="0"/>
          <w:color w:val="000000"/>
          <w:sz w:val="24"/>
          <w:szCs w:val="24"/>
          <w:rtl w:val="0"/>
        </w:rPr>
        <w:t xml:space="preserve">‐</w:t>
      </w:r>
      <w:r w:rsidDel="00000000" w:rsidR="00000000" w:rsidRPr="00000000">
        <w:rPr>
          <w:rFonts w:ascii="Times New Roman" w:cs="Times New Roman" w:eastAsia="Times New Roman" w:hAnsi="Times New Roman"/>
          <w:smallCaps w:val="0"/>
          <w:color w:val="000000"/>
          <w:sz w:val="24"/>
          <w:szCs w:val="24"/>
          <w:rtl w:val="0"/>
        </w:rPr>
        <w:t xml:space="preserve">disclosed) discussion phase aiming to homogenize acceptance vs. rejection decisions. </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In 2015, the size of the program committee was increased substantially, and we continued using this structure, with 59 program committee members this year.</w:t>
      </w:r>
      <w:r w:rsidDel="00000000" w:rsidR="00000000" w:rsidRPr="00000000">
        <w:rPr>
          <w:rFonts w:ascii="Times New Roman" w:cs="Times New Roman" w:eastAsia="Times New Roman" w:hAnsi="Times New Roman"/>
          <w:smallCaps w:val="0"/>
          <w:color w:val="000000"/>
          <w:sz w:val="24"/>
          <w:szCs w:val="24"/>
          <w:rtl w:val="0"/>
        </w:rPr>
        <w:t xml:space="preserve">  Taking</w:t>
      </w:r>
      <w:r w:rsidDel="00000000" w:rsidR="00000000" w:rsidRPr="00000000">
        <w:rPr>
          <w:rFonts w:ascii="Times New Roman" w:cs="Times New Roman" w:eastAsia="Times New Roman" w:hAnsi="Times New Roman"/>
          <w:smallCaps w:val="0"/>
          <w:sz w:val="24"/>
          <w:szCs w:val="24"/>
          <w:rtl w:val="0"/>
        </w:rPr>
        <w:t xml:space="preserve"> care of four submissions on average, the PC members were asked to adopt an active role in the review process by conducting an intensive discussion phase with the other reviewers and by providing a detailed meta-review. Final acceptance decisions were based on 9</w:t>
      </w:r>
      <w:r w:rsidDel="00000000" w:rsidR="00000000" w:rsidRPr="00000000">
        <w:rPr>
          <w:rFonts w:ascii="Times New Roman" w:cs="Times New Roman" w:eastAsia="Times New Roman" w:hAnsi="Times New Roman"/>
          <w:sz w:val="24"/>
          <w:szCs w:val="24"/>
          <w:rtl w:val="0"/>
        </w:rPr>
        <w:t xml:space="preserve">55</w:t>
      </w:r>
      <w:r w:rsidDel="00000000" w:rsidR="00000000" w:rsidRPr="00000000">
        <w:rPr>
          <w:rFonts w:ascii="Times New Roman" w:cs="Times New Roman" w:eastAsia="Times New Roman" w:hAnsi="Times New Roman"/>
          <w:smallCaps w:val="0"/>
          <w:color w:val="000000"/>
          <w:sz w:val="24"/>
          <w:szCs w:val="24"/>
          <w:rtl w:val="0"/>
        </w:rPr>
        <w:t xml:space="preserve"> </w:t>
      </w:r>
      <w:r w:rsidDel="00000000" w:rsidR="00000000" w:rsidRPr="00000000">
        <w:rPr>
          <w:rFonts w:ascii="Times New Roman" w:cs="Times New Roman" w:eastAsia="Times New Roman" w:hAnsi="Times New Roman"/>
          <w:smallCaps w:val="0"/>
          <w:sz w:val="24"/>
          <w:szCs w:val="24"/>
          <w:rtl w:val="0"/>
        </w:rPr>
        <w:t xml:space="preserve">reviews and meta</w:t>
      </w:r>
      <w:r w:rsidDel="00000000" w:rsidR="00000000" w:rsidRPr="00000000">
        <w:rPr>
          <w:rFonts w:ascii="Cambria" w:cs="Cambria" w:eastAsia="Cambria" w:hAnsi="Cambria"/>
          <w:smallCaps w:val="0"/>
          <w:sz w:val="24"/>
          <w:szCs w:val="24"/>
          <w:rtl w:val="0"/>
        </w:rPr>
        <w:t xml:space="preserve">‐</w:t>
      </w:r>
      <w:r w:rsidDel="00000000" w:rsidR="00000000" w:rsidRPr="00000000">
        <w:rPr>
          <w:rFonts w:ascii="Times New Roman" w:cs="Times New Roman" w:eastAsia="Times New Roman" w:hAnsi="Times New Roman"/>
          <w:smallCaps w:val="0"/>
          <w:sz w:val="24"/>
          <w:szCs w:val="24"/>
          <w:rtl w:val="0"/>
        </w:rPr>
        <w:t xml:space="preserve">reviews. From the 2</w:t>
      </w:r>
      <w:r w:rsidDel="00000000" w:rsidR="00000000" w:rsidRPr="00000000">
        <w:rPr>
          <w:rFonts w:ascii="Times New Roman" w:cs="Times New Roman" w:eastAsia="Times New Roman" w:hAnsi="Times New Roman"/>
          <w:sz w:val="24"/>
          <w:szCs w:val="24"/>
          <w:rtl w:val="0"/>
        </w:rPr>
        <w:t xml:space="preserve">38</w:t>
      </w:r>
      <w:r w:rsidDel="00000000" w:rsidR="00000000" w:rsidRPr="00000000">
        <w:rPr>
          <w:rFonts w:ascii="Times New Roman" w:cs="Times New Roman" w:eastAsia="Times New Roman" w:hAnsi="Times New Roman"/>
          <w:smallCaps w:val="0"/>
          <w:sz w:val="24"/>
          <w:szCs w:val="24"/>
          <w:rtl w:val="0"/>
        </w:rPr>
        <w:t xml:space="preserve"> reviewed papers, 11</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mallCaps w:val="0"/>
          <w:sz w:val="24"/>
          <w:szCs w:val="24"/>
          <w:rtl w:val="0"/>
        </w:rPr>
        <w:t xml:space="preserve"> papers were accepted resulting in an acceptance rate of 47.</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mallCaps w:val="0"/>
          <w:sz w:val="24"/>
          <w:szCs w:val="24"/>
          <w:rtl w:val="0"/>
        </w:rPr>
        <w:t xml:space="preserve">%. The table shown on the next page summarizes the ISMIR publication statistics ove</w:t>
      </w:r>
      <w:r w:rsidDel="00000000" w:rsidR="00000000" w:rsidRPr="00000000">
        <w:rPr>
          <w:rFonts w:ascii="Times New Roman" w:cs="Times New Roman" w:eastAsia="Times New Roman" w:hAnsi="Times New Roman"/>
          <w:sz w:val="24"/>
          <w:szCs w:val="24"/>
          <w:rtl w:val="0"/>
        </w:rPr>
        <w:t xml:space="preserve">r its history</w:t>
      </w:r>
      <w:r w:rsidDel="00000000" w:rsidR="00000000" w:rsidRPr="00000000">
        <w:rPr>
          <w:rFonts w:ascii="Times New Roman" w:cs="Times New Roman" w:eastAsia="Times New Roman" w:hAnsi="Times New Roman"/>
          <w:smallCaps w:val="0"/>
          <w:sz w:val="24"/>
          <w:szCs w:val="24"/>
          <w:rtl w:val="0"/>
        </w:rPr>
        <w:t xml:space="preserv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4"/>
          <w:szCs w:val="24"/>
          <w:rtl w:val="0"/>
        </w:rPr>
        <w:t xml:space="preserve">The mode of presentation of the papers was determined after the accept/reject decisions and has no relation to the quality of the papers or to the number of pages allotted in the proceedings</w:t>
      </w:r>
      <w:r w:rsidDel="00000000" w:rsidR="00000000" w:rsidRPr="00000000">
        <w:rPr>
          <w:rFonts w:ascii="Times New Roman" w:cs="Times New Roman" w:eastAsia="Times New Roman" w:hAnsi="Times New Roman"/>
          <w:smallCaps w:val="0"/>
          <w:sz w:val="24"/>
          <w:szCs w:val="24"/>
          <w:rtl w:val="0"/>
        </w:rPr>
        <w:t xml:space="preserve">. From the 11</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mallCaps w:val="0"/>
          <w:sz w:val="24"/>
          <w:szCs w:val="24"/>
          <w:rtl w:val="0"/>
        </w:rPr>
        <w:t xml:space="preserve"> contributions, 2</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mallCaps w:val="0"/>
          <w:sz w:val="24"/>
          <w:szCs w:val="24"/>
          <w:rtl w:val="0"/>
        </w:rPr>
        <w:t xml:space="preserve"> papers were chosen for oral presentation based on the topic and broad appeal of the work, whereas the other </w:t>
      </w:r>
      <w:r w:rsidDel="00000000" w:rsidR="00000000" w:rsidRPr="00000000">
        <w:rPr>
          <w:rFonts w:ascii="Times New Roman" w:cs="Times New Roman" w:eastAsia="Times New Roman" w:hAnsi="Times New Roman"/>
          <w:sz w:val="24"/>
          <w:szCs w:val="24"/>
          <w:rtl w:val="0"/>
        </w:rPr>
        <w:t xml:space="preserve">88</w:t>
      </w:r>
      <w:r w:rsidDel="00000000" w:rsidR="00000000" w:rsidRPr="00000000">
        <w:rPr>
          <w:rFonts w:ascii="Times New Roman" w:cs="Times New Roman" w:eastAsia="Times New Roman" w:hAnsi="Times New Roman"/>
          <w:smallCaps w:val="0"/>
          <w:sz w:val="24"/>
          <w:szCs w:val="24"/>
          <w:rtl w:val="0"/>
        </w:rPr>
        <w:t xml:space="preserve"> were chosen for poster presentation. Oral presentations have a 20-minute slot (including setup and questions/answers from the audience) whereas poster presentations are done in two sessions per day, the same posters being presented in the morning and in the afternoon of a given conference day. </w:t>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240" w:lineRule="auto"/>
        <w:contextualSpacing w:val="0"/>
        <w:jc w:val="both"/>
      </w:pPr>
      <w:r w:rsidDel="00000000" w:rsidR="00000000" w:rsidRPr="00000000">
        <w:rPr>
          <w:rtl w:val="0"/>
        </w:rPr>
      </w:r>
    </w:p>
    <w:tbl>
      <w:tblPr>
        <w:tblStyle w:val="Table1"/>
        <w:bidi w:val="0"/>
        <w:tblW w:w="92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6"/>
        <w:gridCol w:w="1216"/>
        <w:gridCol w:w="571.9999999999999"/>
        <w:gridCol w:w="716.0000000000002"/>
        <w:gridCol w:w="750"/>
        <w:gridCol w:w="683.0000000000001"/>
        <w:gridCol w:w="860.9999999999997"/>
        <w:gridCol w:w="861.0000000000002"/>
        <w:gridCol w:w="738.9999999999998"/>
        <w:gridCol w:w="916.0000000000002"/>
        <w:gridCol w:w="1306.0000000000002"/>
        <w:tblGridChange w:id="0">
          <w:tblGrid>
            <w:gridCol w:w="616"/>
            <w:gridCol w:w="1216"/>
            <w:gridCol w:w="571.9999999999999"/>
            <w:gridCol w:w="716.0000000000002"/>
            <w:gridCol w:w="750"/>
            <w:gridCol w:w="683.0000000000001"/>
            <w:gridCol w:w="860.9999999999997"/>
            <w:gridCol w:w="861.0000000000002"/>
            <w:gridCol w:w="738.9999999999998"/>
            <w:gridCol w:w="916.0000000000002"/>
            <w:gridCol w:w="1306.0000000000002"/>
          </w:tblGrid>
        </w:tblGridChange>
      </w:tblGrid>
      <w:tr>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Year</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Location</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Oral</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Poster</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Total</w:t>
              <w:br w:type="textWrapping"/>
              <w:t xml:space="preserve">Papers</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Total</w:t>
              <w:br w:type="textWrapping"/>
              <w:t xml:space="preserve">Pages</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Total</w:t>
              <w:br w:type="textWrapping"/>
              <w:t xml:space="preserve">Authors</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Unique</w:t>
              <w:br w:type="textWrapping"/>
              <w:t xml:space="preserve">Authors</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Pages/</w:t>
              <w:br w:type="textWrapping"/>
              <w:t xml:space="preserve">Paper</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Authors/</w:t>
              <w:br w:type="textWrapping"/>
              <w:t xml:space="preserve">Paper</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Unique Authors/</w:t>
              <w:br w:type="textWrapping"/>
              <w:t xml:space="preserve">Paper</w:t>
            </w:r>
          </w:p>
        </w:tc>
      </w:tr>
      <w:tr>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2000</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Plymouth</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19</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35</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155</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68</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63</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4.4</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1.9</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1.8</w:t>
            </w:r>
          </w:p>
        </w:tc>
      </w:tr>
      <w:tr>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2001</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Indiana</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25</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41</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222</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100</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86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5.4</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2.4</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2.1</w:t>
            </w:r>
          </w:p>
        </w:tc>
      </w:tr>
      <w:tr>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2002</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Paris</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35</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22</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57</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300</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129</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117</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5.3</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2.3</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2.1</w:t>
            </w:r>
          </w:p>
        </w:tc>
      </w:tr>
      <w:tr>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2003</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Baltimore</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24</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50</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209</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132</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111</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4.2</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2.2</w:t>
            </w:r>
          </w:p>
        </w:tc>
      </w:tr>
      <w:tr>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2004</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Barcelona</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61</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44</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105</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582</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252</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214</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5.5</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2.4</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w:t>
            </w:r>
          </w:p>
        </w:tc>
      </w:tr>
      <w:tr>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2005</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London</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57</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57</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114</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697</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316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233</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6.1</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2.8</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w:t>
            </w:r>
          </w:p>
        </w:tc>
      </w:tr>
      <w:tr>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2006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Victoria</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59</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95</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397</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246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198</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4.2</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2.1</w:t>
            </w:r>
          </w:p>
        </w:tc>
      </w:tr>
      <w:tr>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2007</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Vienna</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62</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65</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127</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486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361</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267</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3.8</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2.8</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2.1</w:t>
            </w:r>
          </w:p>
        </w:tc>
      </w:tr>
      <w:tr>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2008</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Philadelphia</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24</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105</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105</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630</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296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253</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2.8</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2.4</w:t>
            </w:r>
          </w:p>
        </w:tc>
      </w:tr>
      <w:tr>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2009</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Kobe</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38</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85</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123</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729</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375</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292</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5.9</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2.4</w:t>
            </w:r>
          </w:p>
        </w:tc>
      </w:tr>
      <w:tr>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2010</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Utrecht</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24</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86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110</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656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314</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263</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2.4</w:t>
            </w:r>
          </w:p>
        </w:tc>
      </w:tr>
      <w:tr>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2011</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Miami</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97</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133</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792</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395</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322</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2.4</w:t>
            </w:r>
          </w:p>
        </w:tc>
      </w:tr>
      <w:tr>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2012</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Porto</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65</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101</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606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324</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264</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3.2</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2.6</w:t>
            </w:r>
          </w:p>
        </w:tc>
      </w:tr>
      <w:tr>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2013</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Curitiba</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31</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67</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98</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587</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395</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236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5.9</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2.4</w:t>
            </w:r>
          </w:p>
        </w:tc>
      </w:tr>
      <w:tr>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2014</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color w:val="000000"/>
                <w:sz w:val="20"/>
                <w:szCs w:val="20"/>
                <w:rtl w:val="0"/>
              </w:rPr>
              <w:t xml:space="preserve">Taipei</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color w:val="000000"/>
                <w:sz w:val="20"/>
                <w:szCs w:val="20"/>
                <w:rtl w:val="0"/>
              </w:rPr>
              <w:t xml:space="preserve">33</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color w:val="000000"/>
                <w:sz w:val="20"/>
                <w:szCs w:val="20"/>
                <w:rtl w:val="0"/>
              </w:rPr>
              <w:t xml:space="preserve">73</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color w:val="000000"/>
                <w:sz w:val="20"/>
                <w:szCs w:val="20"/>
                <w:rtl w:val="0"/>
              </w:rPr>
              <w:t xml:space="preserve">106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color w:val="000000"/>
                <w:sz w:val="20"/>
                <w:szCs w:val="20"/>
                <w:rtl w:val="0"/>
              </w:rPr>
              <w:t xml:space="preserve">635</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color w:val="000000"/>
                <w:sz w:val="20"/>
                <w:szCs w:val="20"/>
                <w:rtl w:val="0"/>
              </w:rPr>
              <w:t xml:space="preserve">343</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color w:val="000000"/>
                <w:sz w:val="20"/>
                <w:szCs w:val="20"/>
                <w:rtl w:val="0"/>
              </w:rPr>
              <w:t xml:space="preserve">271</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color w:val="000000"/>
                <w:sz w:val="20"/>
                <w:szCs w:val="20"/>
                <w:rtl w:val="0"/>
              </w:rPr>
              <w:t xml:space="preserve">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color w:val="000000"/>
                <w:sz w:val="20"/>
                <w:szCs w:val="20"/>
                <w:rtl w:val="0"/>
              </w:rPr>
              <w:t xml:space="preserve">3.2</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color w:val="000000"/>
                <w:sz w:val="20"/>
                <w:szCs w:val="20"/>
                <w:rtl w:val="0"/>
              </w:rPr>
              <w:t xml:space="preserve">2.6</w:t>
            </w:r>
          </w:p>
        </w:tc>
      </w:tr>
      <w:tr>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2015</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Málaga</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24</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90</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114</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792</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370</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296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7</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3.2</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2.6</w:t>
            </w:r>
          </w:p>
        </w:tc>
      </w:tr>
      <w:tr>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0"/>
                <w:szCs w:val="20"/>
                <w:rtl w:val="0"/>
              </w:rPr>
              <w:t xml:space="preserve">2016</w:t>
            </w:r>
            <w:r w:rsidDel="00000000" w:rsidR="00000000" w:rsidRPr="00000000">
              <w:rPr>
                <w:rtl w:val="0"/>
              </w:rPr>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0"/>
                <w:szCs w:val="20"/>
                <w:rtl w:val="0"/>
              </w:rPr>
              <w:t xml:space="preserve">New York</w:t>
            </w:r>
            <w:r w:rsidDel="00000000" w:rsidR="00000000" w:rsidRPr="00000000">
              <w:rPr>
                <w:rtl w:val="0"/>
              </w:rPr>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0"/>
                <w:szCs w:val="20"/>
                <w:rtl w:val="0"/>
              </w:rPr>
              <w:t xml:space="preserve">25</w:t>
            </w:r>
            <w:r w:rsidDel="00000000" w:rsidR="00000000" w:rsidRPr="00000000">
              <w:rPr>
                <w:rtl w:val="0"/>
              </w:rPr>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0"/>
                <w:szCs w:val="20"/>
                <w:rtl w:val="0"/>
              </w:rPr>
              <w:t xml:space="preserve">88</w:t>
            </w:r>
            <w:r w:rsidDel="00000000" w:rsidR="00000000" w:rsidRPr="00000000">
              <w:rPr>
                <w:rtl w:val="0"/>
              </w:rPr>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0"/>
                <w:szCs w:val="20"/>
                <w:rtl w:val="0"/>
              </w:rPr>
              <w:t xml:space="preserve">113</w:t>
            </w:r>
            <w:r w:rsidDel="00000000" w:rsidR="00000000" w:rsidRPr="00000000">
              <w:rPr>
                <w:rtl w:val="0"/>
              </w:rPr>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0"/>
                <w:szCs w:val="20"/>
                <w:rtl w:val="0"/>
              </w:rPr>
              <w:t xml:space="preserve">781</w:t>
            </w:r>
            <w:r w:rsidDel="00000000" w:rsidR="00000000" w:rsidRPr="00000000">
              <w:rPr>
                <w:rtl w:val="0"/>
              </w:rPr>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commentRangeStart w:id="0"/>
            <w:commentRangeStart w:id="1"/>
            <w:r w:rsidDel="00000000" w:rsidR="00000000" w:rsidRPr="00000000">
              <w:rPr>
                <w:rFonts w:ascii="Times New Roman" w:cs="Times New Roman" w:eastAsia="Times New Roman" w:hAnsi="Times New Roman"/>
                <w:b w:val="1"/>
                <w:sz w:val="20"/>
                <w:szCs w:val="20"/>
                <w:rtl w:val="0"/>
              </w:rPr>
              <w:t xml:space="preserve">344</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0"/>
                <w:szCs w:val="20"/>
                <w:rtl w:val="0"/>
              </w:rPr>
              <w:t xml:space="preserve">269</w:t>
            </w:r>
            <w:r w:rsidDel="00000000" w:rsidR="00000000" w:rsidRPr="00000000">
              <w:rPr>
                <w:rtl w:val="0"/>
              </w:rPr>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0"/>
                <w:szCs w:val="20"/>
                <w:rtl w:val="0"/>
              </w:rPr>
              <w:t xml:space="preserve">6.9</w:t>
            </w:r>
            <w:r w:rsidDel="00000000" w:rsidR="00000000" w:rsidRPr="00000000">
              <w:rPr>
                <w:rtl w:val="0"/>
              </w:rPr>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0"/>
                <w:szCs w:val="20"/>
                <w:rtl w:val="0"/>
              </w:rPr>
              <w:t xml:space="preserve">3.0</w:t>
            </w:r>
            <w:r w:rsidDel="00000000" w:rsidR="00000000" w:rsidRPr="00000000">
              <w:rPr>
                <w:rtl w:val="0"/>
              </w:rPr>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0"/>
                <w:szCs w:val="20"/>
                <w:rtl w:val="0"/>
              </w:rPr>
              <w:t xml:space="preserve">2.4</w:t>
            </w:r>
            <w:r w:rsidDel="00000000" w:rsidR="00000000" w:rsidRPr="00000000">
              <w:rPr>
                <w:rtl w:val="0"/>
              </w:rPr>
            </w:r>
          </w:p>
        </w:tc>
      </w:tr>
    </w:tbl>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The ISMIR 2016 conference runs for a 5-day period. The selected submissions are presented over a period of 3.5 days, preceded by a day of tutorials and followed by half a day of late‐breaking/demo &amp; unconference sessions. Moreover, this year the conference offers four satellite events before and after the main conference: The ISMIR Think Tank, Hacking on Music and Audio Research (HAMR), as well as workshops on Cognitively Based Music Informatics Research (CogMIR), and Digital Libraries for Musicology (DLfM). We believe this is an exciting and engaging program reflecting the breadth and depth of activities across our community.</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mallCaps w:val="0"/>
          <w:sz w:val="32"/>
          <w:szCs w:val="32"/>
          <w:rtl w:val="0"/>
        </w:rPr>
        <w:t xml:space="preserve">Tutorials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4"/>
          <w:szCs w:val="24"/>
          <w:rtl w:val="0"/>
        </w:rPr>
        <w:t xml:space="preserve">Six tutorials take place on </w:t>
      </w:r>
      <w:r w:rsidDel="00000000" w:rsidR="00000000" w:rsidRPr="00000000">
        <w:rPr>
          <w:rFonts w:ascii="Times New Roman" w:cs="Times New Roman" w:eastAsia="Times New Roman" w:hAnsi="Times New Roman"/>
          <w:sz w:val="24"/>
          <w:szCs w:val="24"/>
          <w:rtl w:val="0"/>
        </w:rPr>
        <w:t xml:space="preserve">Sunday</w:t>
      </w:r>
      <w:r w:rsidDel="00000000" w:rsidR="00000000" w:rsidRPr="00000000">
        <w:rPr>
          <w:rFonts w:ascii="Times New Roman" w:cs="Times New Roman" w:eastAsia="Times New Roman" w:hAnsi="Times New Roman"/>
          <w:smallCaps w:val="0"/>
          <w:sz w:val="24"/>
          <w:szCs w:val="24"/>
          <w:rtl w:val="0"/>
        </w:rPr>
        <w:t xml:space="preserve">, providing a good balance between culture and technology. Three 3</w:t>
      </w:r>
      <w:r w:rsidDel="00000000" w:rsidR="00000000" w:rsidRPr="00000000">
        <w:rPr>
          <w:rFonts w:ascii="Cambria" w:cs="Cambria" w:eastAsia="Cambria" w:hAnsi="Cambria"/>
          <w:smallCaps w:val="0"/>
          <w:sz w:val="24"/>
          <w:szCs w:val="24"/>
          <w:rtl w:val="0"/>
        </w:rPr>
        <w:t xml:space="preserve">‐</w:t>
      </w:r>
      <w:r w:rsidDel="00000000" w:rsidR="00000000" w:rsidRPr="00000000">
        <w:rPr>
          <w:rFonts w:ascii="Times New Roman" w:cs="Times New Roman" w:eastAsia="Times New Roman" w:hAnsi="Times New Roman"/>
          <w:smallCaps w:val="0"/>
          <w:sz w:val="24"/>
          <w:szCs w:val="24"/>
          <w:rtl w:val="0"/>
        </w:rPr>
        <w:t xml:space="preserve">hour tutorials are presented in parallel on </w:t>
      </w:r>
      <w:r w:rsidDel="00000000" w:rsidR="00000000" w:rsidRPr="00000000">
        <w:rPr>
          <w:rFonts w:ascii="Times New Roman" w:cs="Times New Roman" w:eastAsia="Times New Roman" w:hAnsi="Times New Roman"/>
          <w:sz w:val="24"/>
          <w:szCs w:val="24"/>
          <w:rtl w:val="0"/>
        </w:rPr>
        <w:t xml:space="preserve">Sunday</w:t>
      </w:r>
      <w:r w:rsidDel="00000000" w:rsidR="00000000" w:rsidRPr="00000000">
        <w:rPr>
          <w:rFonts w:ascii="Times New Roman" w:cs="Times New Roman" w:eastAsia="Times New Roman" w:hAnsi="Times New Roman"/>
          <w:smallCaps w:val="0"/>
          <w:sz w:val="24"/>
          <w:szCs w:val="24"/>
          <w:rtl w:val="0"/>
        </w:rPr>
        <w:t xml:space="preserve"> morning, and three in parallel on </w:t>
      </w:r>
      <w:r w:rsidDel="00000000" w:rsidR="00000000" w:rsidRPr="00000000">
        <w:rPr>
          <w:rFonts w:ascii="Times New Roman" w:cs="Times New Roman" w:eastAsia="Times New Roman" w:hAnsi="Times New Roman"/>
          <w:sz w:val="24"/>
          <w:szCs w:val="24"/>
          <w:rtl w:val="0"/>
        </w:rPr>
        <w:t xml:space="preserve">Sunday</w:t>
      </w:r>
      <w:r w:rsidDel="00000000" w:rsidR="00000000" w:rsidRPr="00000000">
        <w:rPr>
          <w:rFonts w:ascii="Times New Roman" w:cs="Times New Roman" w:eastAsia="Times New Roman" w:hAnsi="Times New Roman"/>
          <w:smallCaps w:val="0"/>
          <w:sz w:val="24"/>
          <w:szCs w:val="24"/>
          <w:rtl w:val="0"/>
        </w:rPr>
        <w:t xml:space="preserve"> afternoon.</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4"/>
          <w:szCs w:val="24"/>
          <w:rtl w:val="0"/>
        </w:rPr>
        <w:t xml:space="preserve">Morning sessions:</w:t>
      </w:r>
    </w:p>
    <w:p w:rsidR="00000000" w:rsidDel="00000000" w:rsidP="00000000" w:rsidRDefault="00000000" w:rsidRPr="00000000">
      <w:pPr>
        <w:numPr>
          <w:ilvl w:val="0"/>
          <w:numId w:val="4"/>
        </w:numPr>
        <w:ind w:left="720" w:hanging="360"/>
        <w:contextualSpacing w:val="1"/>
        <w:jc w:val="both"/>
      </w:pPr>
      <w:r w:rsidDel="00000000" w:rsidR="00000000" w:rsidRPr="00000000">
        <w:rPr>
          <w:rFonts w:ascii="Times New Roman" w:cs="Times New Roman" w:eastAsia="Times New Roman" w:hAnsi="Times New Roman"/>
          <w:sz w:val="24"/>
          <w:szCs w:val="24"/>
          <w:rtl w:val="0"/>
        </w:rPr>
        <w:t xml:space="preserve">Tutorial 1: Jazz solo analysis between music information retrieval, music psychology, and jazz research (Jakob Abeßer, Klaus Frieler, Wolf-Georg Zaddach)</w:t>
      </w:r>
    </w:p>
    <w:p w:rsidR="00000000" w:rsidDel="00000000" w:rsidP="00000000" w:rsidRDefault="00000000" w:rsidRPr="00000000">
      <w:pPr>
        <w:numPr>
          <w:ilvl w:val="0"/>
          <w:numId w:val="4"/>
        </w:numPr>
        <w:ind w:left="720" w:hanging="360"/>
        <w:contextualSpacing w:val="1"/>
        <w:jc w:val="both"/>
      </w:pPr>
      <w:r w:rsidDel="00000000" w:rsidR="00000000" w:rsidRPr="00000000">
        <w:rPr>
          <w:rFonts w:ascii="Times New Roman" w:cs="Times New Roman" w:eastAsia="Times New Roman" w:hAnsi="Times New Roman"/>
          <w:sz w:val="24"/>
          <w:szCs w:val="24"/>
          <w:rtl w:val="0"/>
        </w:rPr>
        <w:t xml:space="preserve">Tutorial 2: Music Information Retrieval: Overview, Recent Developments and Future Challenges (Emilia Gómez, Markus Schedl, Xavier Serra, Xiao Hu)</w:t>
      </w:r>
    </w:p>
    <w:p w:rsidR="00000000" w:rsidDel="00000000" w:rsidP="00000000" w:rsidRDefault="00000000" w:rsidRPr="00000000">
      <w:pPr>
        <w:numPr>
          <w:ilvl w:val="0"/>
          <w:numId w:val="4"/>
        </w:numPr>
        <w:ind w:left="720" w:hanging="360"/>
        <w:contextualSpacing w:val="1"/>
        <w:jc w:val="both"/>
      </w:pPr>
      <w:r w:rsidDel="00000000" w:rsidR="00000000" w:rsidRPr="00000000">
        <w:rPr>
          <w:rFonts w:ascii="Times New Roman" w:cs="Times New Roman" w:eastAsia="Times New Roman" w:hAnsi="Times New Roman"/>
          <w:sz w:val="24"/>
          <w:szCs w:val="24"/>
          <w:rtl w:val="0"/>
        </w:rPr>
        <w:t xml:space="preserve">Tutorial 3: Why is studio production interesting? (Emmanuel Deruty, François Pachet)</w:t>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Afternoon sessions:</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T4: Introduction to EEG Decoding for Music Information Retrieval Research (Sebastian Stober, Blair Kaneshiro)</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T5: Natural Language Processing for MIR (Sergio Oramas, Luis Espinosa­-Anke, Shuo Zhang, Horacio Saggion)</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T6: Why Hip-Hop is interesting (Jan Van Balen, Ethan Hein, Dan Brown)</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mallCaps w:val="0"/>
          <w:sz w:val="32"/>
          <w:szCs w:val="32"/>
          <w:rtl w:val="0"/>
        </w:rPr>
        <w:t xml:space="preserve">Keynote Speakers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4"/>
          <w:szCs w:val="24"/>
          <w:rtl w:val="0"/>
        </w:rPr>
        <w:t xml:space="preserve">We are honored to have two distinguished keynote speakers:</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200" w:before="0" w:line="276" w:lineRule="auto"/>
        <w:ind w:left="720" w:right="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Barbara Haws, Archivist and Historian, New York Philharmonic</w:t>
      </w:r>
    </w:p>
    <w:p w:rsidR="00000000" w:rsidDel="00000000" w:rsidP="00000000" w:rsidRDefault="00000000" w:rsidRPr="00000000">
      <w:pPr>
        <w:keepNext w:val="0"/>
        <w:keepLines w:val="0"/>
        <w:widowControl w:val="1"/>
        <w:numPr>
          <w:ilvl w:val="0"/>
          <w:numId w:val="3"/>
        </w:numPr>
        <w:spacing w:after="200" w:before="0" w:line="276" w:lineRule="auto"/>
        <w:ind w:left="720" w:right="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Beth Logan, PhD, VP, Optimization, DataXu</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commentRangeStart w:id="2"/>
      <w:r w:rsidDel="00000000" w:rsidR="00000000" w:rsidRPr="00000000">
        <w:rPr>
          <w:rFonts w:ascii="Times New Roman" w:cs="Times New Roman" w:eastAsia="Times New Roman" w:hAnsi="Times New Roman"/>
          <w:b w:val="1"/>
          <w:smallCaps w:val="0"/>
          <w:sz w:val="32"/>
          <w:szCs w:val="32"/>
          <w:rtl w:val="0"/>
        </w:rPr>
        <w:t xml:space="preserve">MIREX</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4"/>
          <w:szCs w:val="24"/>
          <w:rtl w:val="0"/>
        </w:rPr>
        <w:t xml:space="preserve">The Music Information Retrieval Evaluation eXchange (MIREX) is a collective effort to evaluate cutting-edge methods for various MIR tasks. Since 2005, MIREX has been an integral part of ISMIR. This year, ISMIR features the following MIREX-related events: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numPr>
          <w:ilvl w:val="0"/>
          <w:numId w:val="2"/>
        </w:numPr>
        <w:spacing w:after="0" w:line="240" w:lineRule="auto"/>
        <w:ind w:left="720" w:hanging="360"/>
        <w:contextualSpacing w:val="1"/>
        <w:jc w:val="both"/>
        <w:rPr>
          <w:rFonts w:ascii="Times New Roman" w:cs="Times New Roman" w:eastAsia="Times New Roman" w:hAnsi="Times New Roman"/>
          <w:smallCaps w:val="0"/>
          <w:strike w:val="1"/>
          <w:sz w:val="24"/>
          <w:szCs w:val="24"/>
          <w:u w:val="none"/>
        </w:rPr>
      </w:pPr>
      <w:r w:rsidDel="00000000" w:rsidR="00000000" w:rsidRPr="00000000">
        <w:rPr>
          <w:rFonts w:ascii="Times New Roman" w:cs="Times New Roman" w:eastAsia="Times New Roman" w:hAnsi="Times New Roman"/>
          <w:smallCaps w:val="0"/>
          <w:strike w:val="1"/>
          <w:sz w:val="24"/>
          <w:szCs w:val="24"/>
          <w:rtl w:val="0"/>
        </w:rPr>
        <w:t xml:space="preserve">Plenary summary of tasks and results of MIREX 2015</w:t>
      </w:r>
    </w:p>
    <w:p w:rsidR="00000000" w:rsidDel="00000000" w:rsidP="00000000" w:rsidRDefault="00000000" w:rsidRPr="00000000">
      <w:pPr>
        <w:numPr>
          <w:ilvl w:val="0"/>
          <w:numId w:val="2"/>
        </w:numPr>
        <w:spacing w:after="0" w:line="240" w:lineRule="auto"/>
        <w:ind w:left="720" w:hanging="360"/>
        <w:contextualSpacing w:val="1"/>
        <w:jc w:val="both"/>
        <w:rPr>
          <w:rFonts w:ascii="Times New Roman" w:cs="Times New Roman" w:eastAsia="Times New Roman" w:hAnsi="Times New Roman"/>
          <w:smallCaps w:val="0"/>
          <w:strike w:val="1"/>
          <w:sz w:val="24"/>
          <w:szCs w:val="24"/>
          <w:u w:val="none"/>
        </w:rPr>
      </w:pPr>
      <w:r w:rsidDel="00000000" w:rsidR="00000000" w:rsidRPr="00000000">
        <w:rPr>
          <w:rFonts w:ascii="Times New Roman" w:cs="Times New Roman" w:eastAsia="Times New Roman" w:hAnsi="Times New Roman"/>
          <w:smallCaps w:val="0"/>
          <w:strike w:val="1"/>
          <w:sz w:val="24"/>
          <w:szCs w:val="24"/>
          <w:rtl w:val="0"/>
        </w:rPr>
        <w:t xml:space="preserve">Report of the “Grand Challenge 2015: User Experience” (GC15UX)</w:t>
      </w:r>
    </w:p>
    <w:p w:rsidR="00000000" w:rsidDel="00000000" w:rsidP="00000000" w:rsidRDefault="00000000" w:rsidRPr="00000000">
      <w:pPr>
        <w:numPr>
          <w:ilvl w:val="0"/>
          <w:numId w:val="2"/>
        </w:numPr>
        <w:spacing w:after="0" w:line="240" w:lineRule="auto"/>
        <w:ind w:left="720" w:hanging="360"/>
        <w:contextualSpacing w:val="1"/>
        <w:jc w:val="both"/>
        <w:rPr>
          <w:rFonts w:ascii="Times New Roman" w:cs="Times New Roman" w:eastAsia="Times New Roman" w:hAnsi="Times New Roman"/>
          <w:smallCaps w:val="0"/>
          <w:strike w:val="1"/>
          <w:sz w:val="24"/>
          <w:szCs w:val="24"/>
          <w:u w:val="none"/>
        </w:rPr>
      </w:pPr>
      <w:r w:rsidDel="00000000" w:rsidR="00000000" w:rsidRPr="00000000">
        <w:rPr>
          <w:rFonts w:ascii="Times New Roman" w:cs="Times New Roman" w:eastAsia="Times New Roman" w:hAnsi="Times New Roman"/>
          <w:smallCaps w:val="0"/>
          <w:strike w:val="1"/>
          <w:sz w:val="24"/>
          <w:szCs w:val="24"/>
          <w:rtl w:val="0"/>
        </w:rPr>
        <w:t xml:space="preserve">Plenary discussion of MIREX 2016 and GC16UX</w:t>
      </w:r>
    </w:p>
    <w:p w:rsidR="00000000" w:rsidDel="00000000" w:rsidP="00000000" w:rsidRDefault="00000000" w:rsidRPr="00000000">
      <w:pPr>
        <w:numPr>
          <w:ilvl w:val="0"/>
          <w:numId w:val="2"/>
        </w:numPr>
        <w:spacing w:after="0" w:line="240" w:lineRule="auto"/>
        <w:ind w:left="720" w:hanging="360"/>
        <w:contextualSpacing w:val="1"/>
        <w:jc w:val="both"/>
        <w:rPr>
          <w:rFonts w:ascii="Times New Roman" w:cs="Times New Roman" w:eastAsia="Times New Roman" w:hAnsi="Times New Roman"/>
          <w:smallCaps w:val="0"/>
          <w:strike w:val="1"/>
          <w:sz w:val="24"/>
          <w:szCs w:val="24"/>
          <w:u w:val="none"/>
        </w:rPr>
      </w:pPr>
      <w:r w:rsidDel="00000000" w:rsidR="00000000" w:rsidRPr="00000000">
        <w:rPr>
          <w:rFonts w:ascii="Times New Roman" w:cs="Times New Roman" w:eastAsia="Times New Roman" w:hAnsi="Times New Roman"/>
          <w:smallCaps w:val="0"/>
          <w:strike w:val="1"/>
          <w:sz w:val="24"/>
          <w:szCs w:val="24"/>
          <w:rtl w:val="0"/>
        </w:rPr>
        <w:t xml:space="preserve">Poster session of MIREX 2015 participants</w:t>
      </w:r>
    </w:p>
    <w:p w:rsidR="00000000" w:rsidDel="00000000" w:rsidP="00000000" w:rsidRDefault="00000000" w:rsidRPr="00000000">
      <w:pPr>
        <w:spacing w:after="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mallCaps w:val="0"/>
          <w:sz w:val="32"/>
          <w:szCs w:val="32"/>
          <w:rtl w:val="0"/>
        </w:rPr>
        <w:t xml:space="preserve">Late-Breaking/Demo &amp; Unconference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Thursday</w:t>
      </w:r>
      <w:r w:rsidDel="00000000" w:rsidR="00000000" w:rsidRPr="00000000">
        <w:rPr>
          <w:rFonts w:ascii="Times New Roman" w:cs="Times New Roman" w:eastAsia="Times New Roman" w:hAnsi="Times New Roman"/>
          <w:smallCaps w:val="0"/>
          <w:sz w:val="24"/>
          <w:szCs w:val="24"/>
          <w:rtl w:val="0"/>
        </w:rPr>
        <w:t xml:space="preserve"> afternoon is dedicated to late-breaking papers and MIR system demonstrations. Abstracts for these presentations are available online. Moreover, as in previous years, we have a special “unconference” session in which participants break up into smaller groups to discuss MIR issues of particular interest. This is an informal and informative opportunity to get to know peers and colleagues from all around the world.</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commentRangeStart w:id="3"/>
      <w:r w:rsidDel="00000000" w:rsidR="00000000" w:rsidRPr="00000000">
        <w:rPr>
          <w:rFonts w:ascii="Times New Roman" w:cs="Times New Roman" w:eastAsia="Times New Roman" w:hAnsi="Times New Roman"/>
          <w:sz w:val="24"/>
          <w:szCs w:val="24"/>
          <w:rtl w:val="0"/>
        </w:rPr>
        <w:t xml:space="preserve">Possibly include blurbs for: Think Tank, HAMR, Cognitively based Music Informatics Research (CogMIR), Digital Libraries for Musicology (DLfM)</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mallCaps w:val="0"/>
          <w:sz w:val="32"/>
          <w:szCs w:val="32"/>
          <w:rtl w:val="0"/>
        </w:rPr>
        <w:t xml:space="preserve">Social Events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4"/>
          <w:szCs w:val="24"/>
          <w:rtl w:val="0"/>
        </w:rPr>
        <w:t xml:space="preserve">ISMIR 201</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mallCaps w:val="0"/>
          <w:sz w:val="24"/>
          <w:szCs w:val="24"/>
          <w:rtl w:val="0"/>
        </w:rPr>
        <w:t xml:space="preserve"> not only offers interesting papers, posters, and tutorials, but also aims at giving the participants an unforgettable stay. The social program provides participants with an opportunity to relax after meetings, to experience </w:t>
      </w:r>
      <w:r w:rsidDel="00000000" w:rsidR="00000000" w:rsidRPr="00000000">
        <w:rPr>
          <w:rFonts w:ascii="Times New Roman" w:cs="Times New Roman" w:eastAsia="Times New Roman" w:hAnsi="Times New Roman"/>
          <w:sz w:val="24"/>
          <w:szCs w:val="24"/>
          <w:rtl w:val="0"/>
        </w:rPr>
        <w:t xml:space="preserve">New York</w:t>
      </w:r>
      <w:r w:rsidDel="00000000" w:rsidR="00000000" w:rsidRPr="00000000">
        <w:rPr>
          <w:rFonts w:ascii="Times New Roman" w:cs="Times New Roman" w:eastAsia="Times New Roman" w:hAnsi="Times New Roman"/>
          <w:smallCaps w:val="0"/>
          <w:sz w:val="24"/>
          <w:szCs w:val="24"/>
          <w:rtl w:val="0"/>
        </w:rPr>
        <w:t xml:space="preserve">, and to network with other ISMIR participants. The social program includes: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numPr>
          <w:ilvl w:val="0"/>
          <w:numId w:val="5"/>
        </w:numPr>
        <w:spacing w:after="0" w:line="240" w:lineRule="auto"/>
        <w:ind w:left="1080" w:hanging="360"/>
        <w:contextualSpacing w:val="1"/>
        <w:jc w:val="both"/>
      </w:pPr>
      <w:r w:rsidDel="00000000" w:rsidR="00000000" w:rsidRPr="00000000">
        <w:rPr>
          <w:rFonts w:ascii="Times New Roman" w:cs="Times New Roman" w:eastAsia="Times New Roman" w:hAnsi="Times New Roman"/>
          <w:smallCaps w:val="0"/>
          <w:sz w:val="24"/>
          <w:szCs w:val="24"/>
          <w:rtl w:val="0"/>
        </w:rPr>
        <w:t xml:space="preserve">Monday, </w:t>
      </w:r>
      <w:r w:rsidDel="00000000" w:rsidR="00000000" w:rsidRPr="00000000">
        <w:rPr>
          <w:rFonts w:ascii="Times New Roman" w:cs="Times New Roman" w:eastAsia="Times New Roman" w:hAnsi="Times New Roman"/>
          <w:sz w:val="24"/>
          <w:szCs w:val="24"/>
          <w:rtl w:val="0"/>
        </w:rPr>
        <w:t xml:space="preserve">August</w:t>
      </w:r>
      <w:r w:rsidDel="00000000" w:rsidR="00000000" w:rsidRPr="00000000">
        <w:rPr>
          <w:rFonts w:ascii="Times New Roman" w:cs="Times New Roman" w:eastAsia="Times New Roman" w:hAnsi="Times New Roman"/>
          <w:smallCaps w:val="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mallCaps w:val="0"/>
          <w:sz w:val="24"/>
          <w:szCs w:val="24"/>
          <w:rtl w:val="0"/>
        </w:rPr>
        <w:t xml:space="preserve">, Welcome </w:t>
      </w:r>
      <w:r w:rsidDel="00000000" w:rsidR="00000000" w:rsidRPr="00000000">
        <w:rPr>
          <w:rFonts w:ascii="Times New Roman" w:cs="Times New Roman" w:eastAsia="Times New Roman" w:hAnsi="Times New Roman"/>
          <w:sz w:val="24"/>
          <w:szCs w:val="24"/>
          <w:rtl w:val="0"/>
        </w:rPr>
        <w:t xml:space="preserve">reception</w:t>
      </w:r>
      <w:r w:rsidDel="00000000" w:rsidR="00000000" w:rsidRPr="00000000">
        <w:rPr>
          <w:rFonts w:ascii="Times New Roman" w:cs="Times New Roman" w:eastAsia="Times New Roman" w:hAnsi="Times New Roman"/>
          <w:smallCaps w:val="0"/>
          <w:sz w:val="24"/>
          <w:szCs w:val="24"/>
          <w:rtl w:val="0"/>
        </w:rPr>
        <w:t xml:space="preserve"> at </w:t>
      </w:r>
      <w:commentRangeStart w:id="4"/>
      <w:r w:rsidDel="00000000" w:rsidR="00000000" w:rsidRPr="00000000">
        <w:rPr>
          <w:rFonts w:ascii="Times New Roman" w:cs="Times New Roman" w:eastAsia="Times New Roman" w:hAnsi="Times New Roman"/>
          <w:sz w:val="24"/>
          <w:szCs w:val="24"/>
          <w:rtl w:val="0"/>
        </w:rPr>
        <w:t xml:space="preserve">Houston Hall</w:t>
      </w:r>
      <w:commentRangeEnd w:id="4"/>
      <w:r w:rsidDel="00000000" w:rsidR="00000000" w:rsidRPr="00000000">
        <w:commentReference w:id="4"/>
      </w:r>
      <w:r w:rsidDel="00000000" w:rsidR="00000000" w:rsidRPr="00000000">
        <w:rPr>
          <w:rFonts w:ascii="Times New Roman" w:cs="Times New Roman" w:eastAsia="Times New Roman" w:hAnsi="Times New Roman"/>
          <w:smallCaps w:val="0"/>
          <w:sz w:val="24"/>
          <w:szCs w:val="24"/>
          <w:rtl w:val="0"/>
        </w:rPr>
        <w:t xml:space="preserve">.</w:t>
      </w:r>
    </w:p>
    <w:p w:rsidR="00000000" w:rsidDel="00000000" w:rsidP="00000000" w:rsidRDefault="00000000" w:rsidRPr="00000000">
      <w:pPr>
        <w:numPr>
          <w:ilvl w:val="0"/>
          <w:numId w:val="5"/>
        </w:numPr>
        <w:spacing w:after="0" w:line="240" w:lineRule="auto"/>
        <w:ind w:left="1080" w:hanging="360"/>
        <w:contextualSpacing w:val="1"/>
        <w:jc w:val="both"/>
      </w:pPr>
      <w:r w:rsidDel="00000000" w:rsidR="00000000" w:rsidRPr="00000000">
        <w:rPr>
          <w:rFonts w:ascii="Times New Roman" w:cs="Times New Roman" w:eastAsia="Times New Roman" w:hAnsi="Times New Roman"/>
          <w:sz w:val="24"/>
          <w:szCs w:val="24"/>
          <w:rtl w:val="0"/>
        </w:rPr>
        <w:t xml:space="preserve">Tuesday, August 9: ISMIR 2016 Pandora jam session at DROM</w:t>
      </w:r>
      <w:r w:rsidDel="00000000" w:rsidR="00000000" w:rsidRPr="00000000">
        <w:rPr>
          <w:rFonts w:ascii="Times New Roman" w:cs="Times New Roman" w:eastAsia="Times New Roman" w:hAnsi="Times New Roman"/>
          <w:smallCaps w:val="0"/>
          <w:sz w:val="24"/>
          <w:szCs w:val="24"/>
          <w:rtl w:val="0"/>
        </w:rPr>
        <w:t xml:space="preserve">.</w:t>
      </w:r>
    </w:p>
    <w:p w:rsidR="00000000" w:rsidDel="00000000" w:rsidP="00000000" w:rsidRDefault="00000000" w:rsidRPr="00000000">
      <w:pPr>
        <w:numPr>
          <w:ilvl w:val="0"/>
          <w:numId w:val="5"/>
        </w:numPr>
        <w:spacing w:after="0" w:line="240" w:lineRule="auto"/>
        <w:ind w:left="1080" w:hanging="360"/>
        <w:contextualSpacing w:val="1"/>
        <w:jc w:val="both"/>
      </w:pPr>
      <w:r w:rsidDel="00000000" w:rsidR="00000000" w:rsidRPr="00000000">
        <w:rPr>
          <w:rFonts w:ascii="Times New Roman" w:cs="Times New Roman" w:eastAsia="Times New Roman" w:hAnsi="Times New Roman"/>
          <w:sz w:val="24"/>
          <w:szCs w:val="24"/>
          <w:rtl w:val="0"/>
        </w:rPr>
        <w:t xml:space="preserve">Wednesday August 10: Banquet dinner at Brooklyn Bowl</w:t>
      </w:r>
      <w:r w:rsidDel="00000000" w:rsidR="00000000" w:rsidRPr="00000000">
        <w:rPr>
          <w:rFonts w:ascii="Times New Roman" w:cs="Times New Roman" w:eastAsia="Times New Roman" w:hAnsi="Times New Roman"/>
          <w:smallCaps w:val="0"/>
          <w:sz w:val="24"/>
          <w:szCs w:val="24"/>
          <w:rtl w:val="0"/>
        </w:rPr>
        <w:t xml:space="preserv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32"/>
          <w:szCs w:val="32"/>
          <w:rtl w:val="0"/>
        </w:rPr>
        <w:t xml:space="preserve">Host city</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commentRangeStart w:id="5"/>
      <w:r w:rsidDel="00000000" w:rsidR="00000000" w:rsidRPr="00000000">
        <w:rPr>
          <w:rFonts w:ascii="Times New Roman" w:cs="Times New Roman" w:eastAsia="Times New Roman" w:hAnsi="Times New Roman"/>
          <w:sz w:val="24"/>
          <w:szCs w:val="24"/>
          <w:rtl w:val="0"/>
        </w:rPr>
        <w:t xml:space="preserve">[Insert blurb about NYC, collaboration, seeing different music-relevant points of interest]</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tabs>
          <w:tab w:val="left" w:pos="5494"/>
        </w:tabs>
        <w:spacing w:after="0" w:line="240" w:lineRule="auto"/>
        <w:contextualSpacing w:val="0"/>
        <w:jc w:val="both"/>
      </w:pPr>
      <w:r w:rsidDel="00000000" w:rsidR="00000000" w:rsidRPr="00000000">
        <w:rPr>
          <w:rFonts w:ascii="Times New Roman" w:cs="Times New Roman" w:eastAsia="Times New Roman" w:hAnsi="Times New Roman"/>
          <w:smallCaps w:val="0"/>
          <w:sz w:val="24"/>
          <w:szCs w:val="24"/>
          <w:rtl w:val="0"/>
        </w:rPr>
        <w:tab/>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5494"/>
        </w:tabs>
        <w:spacing w:after="0" w:line="240" w:lineRule="auto"/>
        <w:contextualSpacing w:val="0"/>
        <w:jc w:val="both"/>
      </w:pPr>
      <w:r w:rsidDel="00000000" w:rsidR="00000000" w:rsidRPr="00000000">
        <w:rPr>
          <w:rtl w:val="0"/>
        </w:rPr>
      </w:r>
    </w:p>
    <w:p w:rsidR="00000000" w:rsidDel="00000000" w:rsidP="00000000" w:rsidRDefault="00000000" w:rsidRPr="00000000">
      <w:pPr>
        <w:tabs>
          <w:tab w:val="left" w:pos="3663"/>
        </w:tabs>
        <w:spacing w:after="0" w:line="240" w:lineRule="auto"/>
        <w:contextualSpacing w:val="0"/>
        <w:jc w:val="both"/>
      </w:pPr>
      <w:r w:rsidDel="00000000" w:rsidR="00000000" w:rsidRPr="00000000">
        <w:rPr>
          <w:rFonts w:ascii="Times New Roman" w:cs="Times New Roman" w:eastAsia="Times New Roman" w:hAnsi="Times New Roman"/>
          <w:b w:val="1"/>
          <w:smallCaps w:val="0"/>
          <w:sz w:val="32"/>
          <w:szCs w:val="32"/>
          <w:rtl w:val="0"/>
        </w:rPr>
        <w:t xml:space="preserve">Acknowledgments</w:t>
        <w:tab/>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4"/>
          <w:szCs w:val="24"/>
          <w:rtl w:val="0"/>
        </w:rPr>
        <w:t xml:space="preserve">We are very proud to present to you the proceedings of ISMIR 201</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mallCaps w:val="0"/>
          <w:sz w:val="24"/>
          <w:szCs w:val="24"/>
          <w:rtl w:val="0"/>
        </w:rPr>
        <w:t xml:space="preserve">. The conference program was made possible thanks to the hard work of many people including the members of the local organization team, the many reviewers, the meta-reviewers from the program committee, and the members of the conference committee. Special thanks go to this year’s </w:t>
      </w:r>
      <w:r w:rsidDel="00000000" w:rsidR="00000000" w:rsidRPr="00000000">
        <w:rPr>
          <w:rFonts w:ascii="Times New Roman" w:cs="Times New Roman" w:eastAsia="Times New Roman" w:hAnsi="Times New Roman"/>
          <w:sz w:val="24"/>
          <w:szCs w:val="24"/>
          <w:rtl w:val="0"/>
        </w:rPr>
        <w:t xml:space="preserve">partners</w:t>
      </w: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Diamond Partners</w:t>
      </w:r>
      <w:r w:rsidDel="00000000" w:rsidR="00000000" w:rsidRPr="00000000">
        <w:rPr>
          <w:rFonts w:ascii="Times New Roman" w:cs="Times New Roman" w:eastAsia="Times New Roman" w:hAnsi="Times New Roman"/>
          <w:smallCaps w:val="0"/>
          <w:sz w:val="24"/>
          <w:szCs w:val="24"/>
          <w:rtl w:val="0"/>
        </w:rPr>
        <w:t xml:space="preserve">:</w:t>
      </w:r>
    </w:p>
    <w:p w:rsidR="00000000" w:rsidDel="00000000" w:rsidP="00000000" w:rsidRDefault="00000000" w:rsidRPr="00000000">
      <w:pPr>
        <w:numPr>
          <w:ilvl w:val="1"/>
          <w:numId w:val="1"/>
        </w:numPr>
        <w:spacing w:after="0" w:line="240" w:lineRule="auto"/>
        <w:ind w:left="1440" w:hanging="360"/>
        <w:contextualSpacing w:val="1"/>
        <w:jc w:val="both"/>
        <w:rPr>
          <w:rFonts w:ascii="Times New Roman" w:cs="Times New Roman" w:eastAsia="Times New Roman" w:hAnsi="Times New Roman"/>
          <w:b w:val="1"/>
          <w:sz w:val="24"/>
          <w:szCs w:val="24"/>
        </w:rPr>
      </w:pPr>
      <w:commentRangeStart w:id="6"/>
      <w:r w:rsidDel="00000000" w:rsidR="00000000" w:rsidRPr="00000000">
        <w:rPr>
          <w:rFonts w:ascii="Times New Roman" w:cs="Times New Roman" w:eastAsia="Times New Roman" w:hAnsi="Times New Roman"/>
          <w:b w:val="1"/>
          <w:sz w:val="24"/>
          <w:szCs w:val="24"/>
          <w:rtl w:val="0"/>
        </w:rPr>
        <w:t xml:space="preserve">Amazon Music</w:t>
      </w:r>
      <w:commentRangeEnd w:id="6"/>
      <w:r w:rsidDel="00000000" w:rsidR="00000000" w:rsidRPr="00000000">
        <w:commentReference w:id="6"/>
      </w:r>
      <w:r w:rsidDel="00000000" w:rsidR="00000000" w:rsidRPr="00000000">
        <w:rPr>
          <w:rtl w:val="0"/>
        </w:rPr>
      </w:r>
    </w:p>
    <w:p w:rsidR="00000000" w:rsidDel="00000000" w:rsidP="00000000" w:rsidRDefault="00000000" w:rsidRPr="00000000">
      <w:pPr>
        <w:numPr>
          <w:ilvl w:val="1"/>
          <w:numId w:val="1"/>
        </w:numPr>
        <w:spacing w:after="0"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Bose Corporation</w:t>
      </w:r>
    </w:p>
    <w:p w:rsidR="00000000" w:rsidDel="00000000" w:rsidP="00000000" w:rsidRDefault="00000000" w:rsidRPr="00000000">
      <w:pPr>
        <w:numPr>
          <w:ilvl w:val="1"/>
          <w:numId w:val="1"/>
        </w:numPr>
        <w:spacing w:after="0"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Gracenote</w:t>
      </w:r>
    </w:p>
    <w:p w:rsidR="00000000" w:rsidDel="00000000" w:rsidP="00000000" w:rsidRDefault="00000000" w:rsidRPr="00000000">
      <w:pPr>
        <w:numPr>
          <w:ilvl w:val="1"/>
          <w:numId w:val="1"/>
        </w:numPr>
        <w:spacing w:after="0" w:line="240"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National Science Foundation, via award IIS-1646882</w:t>
      </w:r>
    </w:p>
    <w:p w:rsidR="00000000" w:rsidDel="00000000" w:rsidP="00000000" w:rsidRDefault="00000000" w:rsidRPr="00000000">
      <w:pPr>
        <w:numPr>
          <w:ilvl w:val="1"/>
          <w:numId w:val="1"/>
        </w:numPr>
        <w:spacing w:after="0"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Pandora</w:t>
      </w:r>
    </w:p>
    <w:p w:rsidR="00000000" w:rsidDel="00000000" w:rsidP="00000000" w:rsidRDefault="00000000" w:rsidRPr="00000000">
      <w:pPr>
        <w:numPr>
          <w:ilvl w:val="1"/>
          <w:numId w:val="1"/>
        </w:numPr>
        <w:spacing w:after="0"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Smule</w:t>
      </w:r>
    </w:p>
    <w:p w:rsidR="00000000" w:rsidDel="00000000" w:rsidP="00000000" w:rsidRDefault="00000000" w:rsidRPr="00000000">
      <w:pPr>
        <w:numPr>
          <w:ilvl w:val="1"/>
          <w:numId w:val="1"/>
        </w:numPr>
        <w:spacing w:after="0" w:line="240"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Spotify</w:t>
      </w:r>
    </w:p>
    <w:p w:rsidR="00000000" w:rsidDel="00000000" w:rsidP="00000000" w:rsidRDefault="00000000" w:rsidRPr="00000000">
      <w:pPr>
        <w:numPr>
          <w:ilvl w:val="1"/>
          <w:numId w:val="1"/>
        </w:numPr>
        <w:spacing w:after="0"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Steinberg Media Technologies GmbH</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Platinum Partners</w:t>
      </w: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pPr>
        <w:numPr>
          <w:ilvl w:val="1"/>
          <w:numId w:val="1"/>
        </w:numPr>
        <w:spacing w:after="0"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Inc</w:t>
      </w:r>
    </w:p>
    <w:p w:rsidR="00000000" w:rsidDel="00000000" w:rsidP="00000000" w:rsidRDefault="00000000" w:rsidRPr="00000000">
      <w:pPr>
        <w:numPr>
          <w:ilvl w:val="1"/>
          <w:numId w:val="1"/>
        </w:numPr>
        <w:spacing w:after="0" w:line="240"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Harmonix Music Systems</w:t>
      </w:r>
    </w:p>
    <w:p w:rsidR="00000000" w:rsidDel="00000000" w:rsidP="00000000" w:rsidRDefault="00000000" w:rsidRPr="00000000">
      <w:pPr>
        <w:spacing w:after="0" w:line="240" w:lineRule="auto"/>
        <w:ind w:left="0" w:firstLine="0"/>
        <w:contextualSpacing w:val="0"/>
        <w:jc w:val="both"/>
      </w:pP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Gold Partners</w:t>
      </w:r>
      <w:r w:rsidDel="00000000" w:rsidR="00000000" w:rsidRPr="00000000">
        <w:rPr>
          <w:rFonts w:ascii="Times New Roman" w:cs="Times New Roman" w:eastAsia="Times New Roman" w:hAnsi="Times New Roman"/>
          <w:smallCaps w:val="0"/>
          <w:sz w:val="24"/>
          <w:szCs w:val="24"/>
          <w:rtl w:val="0"/>
        </w:rPr>
        <w:t xml:space="preserve">:</w:t>
      </w:r>
    </w:p>
    <w:p w:rsidR="00000000" w:rsidDel="00000000" w:rsidP="00000000" w:rsidRDefault="00000000" w:rsidRPr="00000000">
      <w:pPr>
        <w:numPr>
          <w:ilvl w:val="1"/>
          <w:numId w:val="1"/>
        </w:numPr>
        <w:spacing w:after="0" w:line="240" w:lineRule="auto"/>
        <w:ind w:left="1440" w:hanging="360"/>
        <w:contextualSpacing w:val="1"/>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ACRCloud - Automatic Content Recognition Cloud Service</w:t>
      </w:r>
    </w:p>
    <w:p w:rsidR="00000000" w:rsidDel="00000000" w:rsidP="00000000" w:rsidRDefault="00000000" w:rsidRPr="00000000">
      <w:pPr>
        <w:numPr>
          <w:ilvl w:val="1"/>
          <w:numId w:val="1"/>
        </w:numPr>
        <w:spacing w:after="0"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Native Instruments GmbH</w:t>
      </w:r>
    </w:p>
    <w:p w:rsidR="00000000" w:rsidDel="00000000" w:rsidP="00000000" w:rsidRDefault="00000000" w:rsidRPr="00000000">
      <w:pPr>
        <w:numPr>
          <w:ilvl w:val="1"/>
          <w:numId w:val="1"/>
        </w:numPr>
        <w:spacing w:after="0" w:line="240"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Yandex</w:t>
      </w:r>
      <w:r w:rsidDel="00000000" w:rsidR="00000000" w:rsidRPr="00000000">
        <w:rPr>
          <w:rtl w:val="0"/>
        </w:rPr>
      </w:r>
    </w:p>
    <w:p w:rsidR="00000000" w:rsidDel="00000000" w:rsidP="00000000" w:rsidRDefault="00000000" w:rsidRPr="00000000">
      <w:pPr>
        <w:spacing w:after="0" w:line="240" w:lineRule="auto"/>
        <w:ind w:left="0" w:firstLine="0"/>
        <w:contextualSpacing w:val="0"/>
        <w:jc w:val="both"/>
      </w:pP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Silver Partners</w:t>
      </w:r>
      <w:r w:rsidDel="00000000" w:rsidR="00000000" w:rsidRPr="00000000">
        <w:rPr>
          <w:rFonts w:ascii="Times New Roman" w:cs="Times New Roman" w:eastAsia="Times New Roman" w:hAnsi="Times New Roman"/>
          <w:smallCaps w:val="0"/>
          <w:sz w:val="24"/>
          <w:szCs w:val="24"/>
          <w:rtl w:val="0"/>
        </w:rPr>
        <w:t xml:space="preserve">:</w:t>
      </w:r>
    </w:p>
    <w:p w:rsidR="00000000" w:rsidDel="00000000" w:rsidP="00000000" w:rsidRDefault="00000000" w:rsidRPr="00000000">
      <w:pPr>
        <w:numPr>
          <w:ilvl w:val="1"/>
          <w:numId w:val="1"/>
        </w:numPr>
        <w:spacing w:after="0"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Shazam</w:t>
      </w:r>
      <w:r w:rsidDel="00000000" w:rsidR="00000000" w:rsidRPr="00000000">
        <w:rPr>
          <w:rtl w:val="0"/>
        </w:rPr>
      </w:r>
    </w:p>
    <w:p w:rsidR="00000000" w:rsidDel="00000000" w:rsidP="00000000" w:rsidRDefault="00000000" w:rsidRPr="00000000">
      <w:pPr>
        <w:spacing w:after="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4"/>
          <w:szCs w:val="24"/>
          <w:rtl w:val="0"/>
        </w:rPr>
        <w:t xml:space="preserve">Last, but not least, the ISMIR program is possible only thanks to the excellent contributions of our community in response to our call for participation. The biggest acknowledgment goes to you, the authors, researchers and participants of this conference. We hope you all have a wonderful and unforgettable stay in Spain!</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Juan Pablo Bello</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Dan Ellis</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mallCaps w:val="0"/>
          <w:sz w:val="24"/>
          <w:szCs w:val="24"/>
          <w:rtl w:val="0"/>
        </w:rPr>
        <w:t xml:space="preserve">General Chairs, ISMIR 201</w:t>
      </w: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Johanna Devaney</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Douglas Turnbull</w:t>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George Tzanetakis</w:t>
      </w: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mallCaps w:val="0"/>
          <w:sz w:val="24"/>
          <w:szCs w:val="24"/>
          <w:rtl w:val="0"/>
        </w:rPr>
        <w:t xml:space="preserve">Program Chairs, ISMIR 201</w:t>
      </w: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tl w:val="0"/>
        </w:rPr>
      </w:r>
    </w:p>
    <w:sectPr>
      <w:pgSz w:h="16840" w:w="1190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ichael Mandel" w:id="3" w:date="2016-07-13T23:52: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we want to include blurbs on these, or is mentioning them above ok?</w:t>
      </w:r>
    </w:p>
  </w:comment>
  <w:comment w:author="Michael Mandel" w:id="6" w:date="2016-07-13T23:59: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Non-bold entries were copied from last year. Bold entries may or may not have the correct official company name and should be verified.</w:t>
      </w:r>
    </w:p>
  </w:comment>
  <w:comment w:author="Michael Mandel" w:id="4" w:date="2016-07-13T23:53: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a sentence describing each venue?</w:t>
      </w:r>
    </w:p>
  </w:comment>
  <w:comment w:author="Michael Mandel" w:id="2" w:date="2016-07-13T23:22: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What's happening with MIREX this year?</w:t>
      </w:r>
    </w:p>
  </w:comment>
  <w:comment w:author="Michael Mandel" w:id="5" w:date="2016-07-13T23:53: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we want a blurb about NYC?</w:t>
      </w:r>
    </w:p>
  </w:comment>
  <w:comment w:author="Michael Mandel" w:id="0" w:date="2016-07-14T03:58: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get 344 total authors and 269 unique authors from the paper list spreadsheet</w:t>
      </w:r>
    </w:p>
  </w:comment>
  <w:comment w:author="Michael Mandel" w:id="1" w:date="2016-07-14T03:58: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will update this from what Doug had entered: 227 and 175</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Times New Roman"/>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0"/>
      </w:pPr>
      <w:rPr>
        <w:u w:val="none"/>
      </w:rPr>
    </w:lvl>
    <w:lvl w:ilvl="1">
      <w:start w:val="1"/>
      <w:numFmt w:val="bullet"/>
      <w:lvlText w:val="○"/>
      <w:lvlJc w:val="left"/>
      <w:pPr>
        <w:ind w:left="1440" w:firstLine="0"/>
      </w:pPr>
      <w:rPr>
        <w:u w:val="none"/>
      </w:rPr>
    </w:lvl>
    <w:lvl w:ilvl="2">
      <w:start w:val="1"/>
      <w:numFmt w:val="bullet"/>
      <w:lvlText w:val="■"/>
      <w:lvlJc w:val="left"/>
      <w:pPr>
        <w:ind w:left="2160" w:firstLine="0"/>
      </w:pPr>
      <w:rPr>
        <w:u w:val="none"/>
      </w:rPr>
    </w:lvl>
    <w:lvl w:ilvl="3">
      <w:start w:val="1"/>
      <w:numFmt w:val="bullet"/>
      <w:lvlText w:val="●"/>
      <w:lvlJc w:val="left"/>
      <w:pPr>
        <w:ind w:left="2880" w:firstLine="0"/>
      </w:pPr>
      <w:rPr>
        <w:u w:val="none"/>
      </w:rPr>
    </w:lvl>
    <w:lvl w:ilvl="4">
      <w:start w:val="1"/>
      <w:numFmt w:val="bullet"/>
      <w:lvlText w:val="○"/>
      <w:lvlJc w:val="left"/>
      <w:pPr>
        <w:ind w:left="3600" w:firstLine="0"/>
      </w:pPr>
      <w:rPr>
        <w:u w:val="none"/>
      </w:rPr>
    </w:lvl>
    <w:lvl w:ilvl="5">
      <w:start w:val="1"/>
      <w:numFmt w:val="bullet"/>
      <w:lvlText w:val="■"/>
      <w:lvlJc w:val="left"/>
      <w:pPr>
        <w:ind w:left="4320" w:firstLine="0"/>
      </w:pPr>
      <w:rPr>
        <w:u w:val="none"/>
      </w:rPr>
    </w:lvl>
    <w:lvl w:ilvl="6">
      <w:start w:val="1"/>
      <w:numFmt w:val="bullet"/>
      <w:lvlText w:val="●"/>
      <w:lvlJc w:val="left"/>
      <w:pPr>
        <w:ind w:left="5040" w:firstLine="0"/>
      </w:pPr>
      <w:rPr>
        <w:u w:val="none"/>
      </w:rPr>
    </w:lvl>
    <w:lvl w:ilvl="7">
      <w:start w:val="1"/>
      <w:numFmt w:val="bullet"/>
      <w:lvlText w:val="○"/>
      <w:lvlJc w:val="left"/>
      <w:pPr>
        <w:ind w:left="5760" w:firstLine="0"/>
      </w:pPr>
      <w:rPr>
        <w:u w:val="none"/>
      </w:rPr>
    </w:lvl>
    <w:lvl w:ilvl="8">
      <w:start w:val="1"/>
      <w:numFmt w:val="bullet"/>
      <w:lvlText w:val="■"/>
      <w:lvlJc w:val="left"/>
      <w:pPr>
        <w:ind w:left="6480" w:firstLine="0"/>
      </w:pPr>
      <w:rPr>
        <w:u w:val="none"/>
      </w:rPr>
    </w:lvl>
  </w:abstractNum>
  <w:abstractNum w:abstractNumId="5">
    <w:lvl w:ilvl="0">
      <w:start w:val="1"/>
      <w:numFmt w:val="bullet"/>
      <w:lvlText w:val="∙"/>
      <w:lvlJc w:val="left"/>
      <w:pPr>
        <w:ind w:left="1080" w:firstLine="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800" w:firstLine="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520" w:firstLine="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3240" w:firstLine="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960" w:firstLine="0"/>
      </w:pPr>
      <w:rPr>
        <w:rFonts w:ascii="Courier New" w:cs="Courier New" w:eastAsia="Courier New" w:hAnsi="Courier New"/>
        <w:b w:val="0"/>
        <w:i w:val="0"/>
        <w:smallCaps w:val="0"/>
        <w:strike w:val="0"/>
        <w:color w:val="000000"/>
        <w:sz w:val="20"/>
        <w:szCs w:val="20"/>
        <w:u w:val="none"/>
        <w:vertAlign w:val="baseline"/>
      </w:rPr>
    </w:lvl>
    <w:lvl w:ilvl="5">
      <w:start w:val="1"/>
      <w:numFmt w:val="bullet"/>
      <w:lvlText w:val="▪"/>
      <w:lvlJc w:val="left"/>
      <w:pPr>
        <w:ind w:left="4680" w:firstLine="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400" w:firstLine="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6120" w:firstLine="0"/>
      </w:pPr>
      <w:rPr>
        <w:rFonts w:ascii="Courier New" w:cs="Courier New" w:eastAsia="Courier New" w:hAnsi="Courier New"/>
        <w:b w:val="0"/>
        <w:i w:val="0"/>
        <w:smallCaps w:val="0"/>
        <w:strike w:val="0"/>
        <w:color w:val="000000"/>
        <w:sz w:val="20"/>
        <w:szCs w:val="20"/>
        <w:u w:val="none"/>
        <w:vertAlign w:val="baseline"/>
      </w:rPr>
    </w:lvl>
    <w:lvl w:ilvl="8">
      <w:start w:val="1"/>
      <w:numFmt w:val="bullet"/>
      <w:lvlText w:val="▪"/>
      <w:lvlJc w:val="left"/>
      <w:pPr>
        <w:ind w:left="6840" w:firstLine="0"/>
      </w:pPr>
      <w:rPr>
        <w:rFonts w:ascii="Verdana" w:cs="Verdana" w:eastAsia="Verdana" w:hAnsi="Verdana"/>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Cambria" w:cs="Cambria" w:eastAsia="Cambria" w:hAnsi="Cambria"/>
      <w:b w:val="1"/>
      <w:smallCaps w:val="0"/>
      <w:sz w:val="32"/>
      <w:szCs w:val="32"/>
    </w:rPr>
  </w:style>
  <w:style w:type="paragraph" w:styleId="Heading2">
    <w:name w:val="heading 2"/>
    <w:basedOn w:val="Normal"/>
    <w:next w:val="Normal"/>
    <w:pPr>
      <w:keepNext w:val="1"/>
      <w:spacing w:after="60" w:before="240" w:lineRule="auto"/>
      <w:contextualSpacing w:val="1"/>
    </w:pPr>
    <w:rPr>
      <w:rFonts w:ascii="Cambria" w:cs="Cambria" w:eastAsia="Cambria" w:hAnsi="Cambria"/>
      <w:b w:val="1"/>
      <w:i w:val="1"/>
      <w:smallCaps w:val="0"/>
      <w:sz w:val="28"/>
      <w:szCs w:val="28"/>
    </w:rPr>
  </w:style>
  <w:style w:type="paragraph" w:styleId="Heading3">
    <w:name w:val="heading 3"/>
    <w:basedOn w:val="Normal"/>
    <w:next w:val="Normal"/>
    <w:pPr>
      <w:spacing w:after="100" w:before="100" w:line="240" w:lineRule="auto"/>
      <w:contextualSpacing w:val="1"/>
    </w:pPr>
    <w:rPr>
      <w:rFonts w:ascii="Times New Roman" w:cs="Times New Roman" w:eastAsia="Times New Roman" w:hAnsi="Times New Roman"/>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