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本文"/>
        <w:jc w:val="both"/>
        <w:rPr>
          <w:rFonts w:ascii="Times New Roman"/>
          <w:sz w:val="24"/>
          <w:szCs w:val="24"/>
        </w:rPr>
      </w:pPr>
    </w:p>
    <w:p>
      <w:pPr>
        <w:pStyle w:val="本文"/>
        <w:spacing w:line="280" w:lineRule="exact"/>
        <w:rPr>
          <w:rFonts w:ascii="Times New Roman"/>
          <w:sz w:val="24"/>
          <w:szCs w:val="24"/>
        </w:rPr>
      </w:pPr>
    </w:p>
    <w:p>
      <w:pPr>
        <w:pStyle w:val="本文"/>
        <w:spacing w:line="480" w:lineRule="auto"/>
        <w:jc w:val="left"/>
      </w:pPr>
      <w:r>
        <w:rPr>
          <w:rFonts w:ascii="Times New Roman"/>
          <w:sz w:val="24"/>
          <w:szCs w:val="24"/>
          <w:rtl w:val="0"/>
          <w:lang w:val="en-US"/>
        </w:rPr>
        <w:tab/>
        <w:t>The qualities of good roommates are important to lead fulfilling as a student everyday. First, good roommates don</w:t>
      </w:r>
      <w:r>
        <w:rPr>
          <w:rFonts w:hAnsi="Times New Roman" w:hint="default"/>
          <w:sz w:val="24"/>
          <w:szCs w:val="24"/>
          <w:rtl w:val="0"/>
          <w:lang w:val="en-US"/>
        </w:rPr>
        <w:t>’</w:t>
      </w:r>
      <w:r>
        <w:rPr>
          <w:rFonts w:ascii="Times New Roman"/>
          <w:sz w:val="24"/>
          <w:szCs w:val="24"/>
          <w:rtl w:val="0"/>
          <w:lang w:val="en-US"/>
        </w:rPr>
        <w:t>t disturb other students lives. Some students temp to be affected their roommates</w:t>
      </w:r>
      <w:r>
        <w:rPr>
          <w:rFonts w:hAnsi="Times New Roman" w:hint="default"/>
          <w:sz w:val="24"/>
          <w:szCs w:val="24"/>
          <w:rtl w:val="0"/>
          <w:lang w:val="en-US"/>
        </w:rPr>
        <w:t>’</w:t>
      </w:r>
      <w:r>
        <w:rPr>
          <w:rFonts w:ascii="Times New Roman"/>
          <w:sz w:val="24"/>
          <w:szCs w:val="24"/>
          <w:rtl w:val="0"/>
          <w:lang w:val="en-US"/>
        </w:rPr>
        <w:t>s behaviors. Good roommates should not make noise too much and interrupt other</w:t>
      </w:r>
      <w:r>
        <w:rPr>
          <w:rFonts w:hAnsi="Times New Roman" w:hint="default"/>
          <w:sz w:val="24"/>
          <w:szCs w:val="24"/>
          <w:rtl w:val="0"/>
          <w:lang w:val="en-US"/>
        </w:rPr>
        <w:t>’</w:t>
      </w:r>
      <w:r>
        <w:rPr>
          <w:rFonts w:ascii="Times New Roman"/>
          <w:sz w:val="24"/>
          <w:szCs w:val="24"/>
          <w:rtl w:val="0"/>
          <w:lang w:val="en-US"/>
        </w:rPr>
        <w:t>s works; for example, the work is studying and sleeping. Then, roommates should not be lazy, they should clean and keep their room, study hard, get up early in the morning. Roommates</w:t>
      </w:r>
      <w:r>
        <w:rPr>
          <w:rFonts w:hAnsi="Times New Roman" w:hint="default"/>
          <w:sz w:val="24"/>
          <w:szCs w:val="24"/>
          <w:rtl w:val="0"/>
          <w:lang w:val="en-US"/>
        </w:rPr>
        <w:t>’</w:t>
      </w:r>
      <w:r>
        <w:rPr>
          <w:rFonts w:ascii="Times New Roman"/>
          <w:sz w:val="24"/>
          <w:szCs w:val="24"/>
          <w:rtl w:val="0"/>
          <w:lang w:val="en-US"/>
        </w:rPr>
        <w:t xml:space="preserve">s life style will make your life neat. Second, if your roommates have a common hobby, it will be easy to get along with each other. You can </w:t>
      </w:r>
      <w:r>
        <mc:AlternateContent>
          <mc:Choice Requires="wps">
            <w:drawing>
              <wp:anchor distT="0" distB="0" distL="0" distR="0" simplePos="0" relativeHeight="251659264" behindDoc="0" locked="0" layoutInCell="1" allowOverlap="1">
                <wp:simplePos x="0" y="0"/>
                <wp:positionH relativeFrom="page">
                  <wp:posOffset>5085461</wp:posOffset>
                </wp:positionH>
                <wp:positionV relativeFrom="page">
                  <wp:posOffset>914400</wp:posOffset>
                </wp:positionV>
                <wp:extent cx="1563370" cy="1261056"/>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1563370" cy="1261056"/>
                        </a:xfrm>
                        <a:prstGeom prst="rect">
                          <a:avLst/>
                        </a:prstGeom>
                      </wps:spPr>
                      <wps:txbx>
                        <w:txbxContent>
                          <w:tbl>
                            <w:tblPr>
                              <w:tblW w:w="2457" w:type="dxa"/>
                              <w:tblInd w:w="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57"/>
                            </w:tblGrid>
                            <w:tr>
                              <w:tblPrEx>
                                <w:shd w:val="clear" w:color="auto" w:fill="auto"/>
                              </w:tblPrEx>
                              <w:trPr>
                                <w:trHeight w:val="1821" w:hRule="atLeast"/>
                              </w:trPr>
                              <w:tc>
                                <w:tcPr>
                                  <w:tcW w:type="dxa" w:w="2457"/>
                                  <w:tcBorders>
                                    <w:top w:val="nil"/>
                                    <w:left w:val="nil"/>
                                    <w:bottom w:val="nil"/>
                                    <w:right w:val="nil"/>
                                  </w:tcBorders>
                                  <w:shd w:val="clear" w:color="auto" w:fill="auto"/>
                                  <w:tcMar>
                                    <w:top w:type="dxa" w:w="80"/>
                                    <w:left w:type="dxa" w:w="80"/>
                                    <w:bottom w:type="dxa" w:w="80"/>
                                    <w:right w:type="dxa" w:w="80"/>
                                  </w:tcMar>
                                  <w:vAlign w:val="top"/>
                                </w:tcPr>
                                <w:p>
                                  <w:pPr>
                                    <w:pStyle w:val="本文"/>
                                    <w:jc w:val="both"/>
                                    <w:rPr>
                                      <w:rFonts w:ascii="Times New Roman" w:cs="Times New Roman" w:hAnsi="Times New Roman" w:eastAsia="Times New Roman"/>
                                      <w:sz w:val="24"/>
                                      <w:szCs w:val="24"/>
                                    </w:rPr>
                                  </w:pPr>
                                  <w:r>
                                    <w:rPr>
                                      <w:rFonts w:ascii="Times New Roman"/>
                                      <w:sz w:val="24"/>
                                      <w:szCs w:val="24"/>
                                      <w:rtl w:val="0"/>
                                      <w:lang w:val="en-US"/>
                                    </w:rPr>
                                    <w:t>Misato Morino</w:t>
                                  </w:r>
                                </w:p>
                                <w:p>
                                  <w:pPr>
                                    <w:pStyle w:val="本文"/>
                                    <w:jc w:val="both"/>
                                    <w:rPr>
                                      <w:rFonts w:ascii="Times New Roman" w:cs="Times New Roman" w:hAnsi="Times New Roman" w:eastAsia="Times New Roman"/>
                                      <w:sz w:val="24"/>
                                      <w:szCs w:val="24"/>
                                    </w:rPr>
                                  </w:pPr>
                                  <w:r>
                                    <w:rPr>
                                      <w:rFonts w:ascii="Times New Roman"/>
                                      <w:sz w:val="24"/>
                                      <w:szCs w:val="24"/>
                                      <w:rtl w:val="0"/>
                                      <w:lang w:val="en-US"/>
                                    </w:rPr>
                                    <w:t>9/29/15</w:t>
                                  </w:r>
                                </w:p>
                                <w:p>
                                  <w:pPr>
                                    <w:pStyle w:val="本文"/>
                                    <w:jc w:val="both"/>
                                    <w:rPr>
                                      <w:rFonts w:ascii="Times New Roman" w:cs="Times New Roman" w:hAnsi="Times New Roman" w:eastAsia="Times New Roman"/>
                                      <w:sz w:val="24"/>
                                      <w:szCs w:val="24"/>
                                    </w:rPr>
                                  </w:pPr>
                                  <w:r>
                                    <w:rPr>
                                      <w:rFonts w:ascii="Times New Roman"/>
                                      <w:sz w:val="24"/>
                                      <w:szCs w:val="24"/>
                                      <w:rtl w:val="0"/>
                                      <w:lang w:val="en-US"/>
                                    </w:rPr>
                                    <w:t>CLSK121, 7th period</w:t>
                                  </w:r>
                                </w:p>
                                <w:p>
                                  <w:pPr>
                                    <w:pStyle w:val="本文"/>
                                    <w:jc w:val="both"/>
                                    <w:rPr>
                                      <w:rFonts w:ascii="Times New Roman" w:cs="Times New Roman" w:hAnsi="Times New Roman" w:eastAsia="Times New Roman"/>
                                      <w:sz w:val="24"/>
                                      <w:szCs w:val="24"/>
                                    </w:rPr>
                                  </w:pPr>
                                  <w:r>
                                    <w:rPr>
                                      <w:rFonts w:ascii="Times New Roman"/>
                                      <w:sz w:val="24"/>
                                      <w:szCs w:val="24"/>
                                      <w:rtl w:val="0"/>
                                      <w:lang w:val="en-US"/>
                                    </w:rPr>
                                    <w:t>Prof. Hunter</w:t>
                                  </w:r>
                                </w:p>
                                <w:p>
                                  <w:pPr>
                                    <w:pStyle w:val="本文"/>
                                    <w:jc w:val="both"/>
                                    <w:rPr>
                                      <w:rFonts w:ascii="Times New Roman" w:cs="Times New Roman" w:hAnsi="Times New Roman" w:eastAsia="Times New Roman"/>
                                      <w:sz w:val="24"/>
                                      <w:szCs w:val="24"/>
                                    </w:rPr>
                                  </w:pPr>
                                  <w:r>
                                    <w:rPr>
                                      <w:rFonts w:ascii="Times New Roman"/>
                                      <w:sz w:val="24"/>
                                      <w:szCs w:val="24"/>
                                      <w:rtl w:val="0"/>
                                      <w:lang w:val="en-US"/>
                                    </w:rPr>
                                    <w:t>Draft #1</w:t>
                                  </w:r>
                                </w:p>
                              </w:tc>
                            </w:tr>
                          </w:tbl>
                        </w:txbxContent>
                      </wps:txbx>
                      <wps:bodyPr lIns="0" tIns="0" rIns="0" bIns="0">
                        <a:spAutoFit/>
                      </wps:bodyPr>
                    </wps:wsp>
                  </a:graphicData>
                </a:graphic>
              </wp:anchor>
            </w:drawing>
          </mc:Choice>
          <mc:Fallback>
            <w:pict>
              <v:shape id="_x0000_s1026" type="#_x0000_t202" style="visibility:visible;position:absolute;margin-left:400.4pt;margin-top:72.0pt;width:123.1pt;height:99.3pt;z-index:25165926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bevel" linestyle="single" startarrow="none" startarrowwidth="medium" startarrowlength="medium" endarrow="none" endarrowwidth="medium" endarrowlength="medium"/>
                <v:textbox>
                  <w:txbxContent>
                    <w:tbl>
                      <w:tblPr>
                        <w:tblW w:w="2457" w:type="dxa"/>
                        <w:tblInd w:w="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57"/>
                      </w:tblGrid>
                      <w:tr>
                        <w:tblPrEx>
                          <w:shd w:val="clear" w:color="auto" w:fill="auto"/>
                        </w:tblPrEx>
                        <w:trPr>
                          <w:trHeight w:val="1821" w:hRule="atLeast"/>
                        </w:trPr>
                        <w:tc>
                          <w:tcPr>
                            <w:tcW w:type="dxa" w:w="2457"/>
                            <w:tcBorders>
                              <w:top w:val="nil"/>
                              <w:left w:val="nil"/>
                              <w:bottom w:val="nil"/>
                              <w:right w:val="nil"/>
                            </w:tcBorders>
                            <w:shd w:val="clear" w:color="auto" w:fill="auto"/>
                            <w:tcMar>
                              <w:top w:type="dxa" w:w="80"/>
                              <w:left w:type="dxa" w:w="80"/>
                              <w:bottom w:type="dxa" w:w="80"/>
                              <w:right w:type="dxa" w:w="80"/>
                            </w:tcMar>
                            <w:vAlign w:val="top"/>
                          </w:tcPr>
                          <w:p>
                            <w:pPr>
                              <w:pStyle w:val="本文"/>
                              <w:jc w:val="both"/>
                              <w:rPr>
                                <w:rFonts w:ascii="Times New Roman" w:cs="Times New Roman" w:hAnsi="Times New Roman" w:eastAsia="Times New Roman"/>
                                <w:sz w:val="24"/>
                                <w:szCs w:val="24"/>
                              </w:rPr>
                            </w:pPr>
                            <w:r>
                              <w:rPr>
                                <w:rFonts w:ascii="Times New Roman"/>
                                <w:sz w:val="24"/>
                                <w:szCs w:val="24"/>
                                <w:rtl w:val="0"/>
                                <w:lang w:val="en-US"/>
                              </w:rPr>
                              <w:t>Misato Morino</w:t>
                            </w:r>
                          </w:p>
                          <w:p>
                            <w:pPr>
                              <w:pStyle w:val="本文"/>
                              <w:jc w:val="both"/>
                              <w:rPr>
                                <w:rFonts w:ascii="Times New Roman" w:cs="Times New Roman" w:hAnsi="Times New Roman" w:eastAsia="Times New Roman"/>
                                <w:sz w:val="24"/>
                                <w:szCs w:val="24"/>
                              </w:rPr>
                            </w:pPr>
                            <w:r>
                              <w:rPr>
                                <w:rFonts w:ascii="Times New Roman"/>
                                <w:sz w:val="24"/>
                                <w:szCs w:val="24"/>
                                <w:rtl w:val="0"/>
                                <w:lang w:val="en-US"/>
                              </w:rPr>
                              <w:t>9/29/15</w:t>
                            </w:r>
                          </w:p>
                          <w:p>
                            <w:pPr>
                              <w:pStyle w:val="本文"/>
                              <w:jc w:val="both"/>
                              <w:rPr>
                                <w:rFonts w:ascii="Times New Roman" w:cs="Times New Roman" w:hAnsi="Times New Roman" w:eastAsia="Times New Roman"/>
                                <w:sz w:val="24"/>
                                <w:szCs w:val="24"/>
                              </w:rPr>
                            </w:pPr>
                            <w:r>
                              <w:rPr>
                                <w:rFonts w:ascii="Times New Roman"/>
                                <w:sz w:val="24"/>
                                <w:szCs w:val="24"/>
                                <w:rtl w:val="0"/>
                                <w:lang w:val="en-US"/>
                              </w:rPr>
                              <w:t>CLSK121, 7th period</w:t>
                            </w:r>
                          </w:p>
                          <w:p>
                            <w:pPr>
                              <w:pStyle w:val="本文"/>
                              <w:jc w:val="both"/>
                              <w:rPr>
                                <w:rFonts w:ascii="Times New Roman" w:cs="Times New Roman" w:hAnsi="Times New Roman" w:eastAsia="Times New Roman"/>
                                <w:sz w:val="24"/>
                                <w:szCs w:val="24"/>
                              </w:rPr>
                            </w:pPr>
                            <w:r>
                              <w:rPr>
                                <w:rFonts w:ascii="Times New Roman"/>
                                <w:sz w:val="24"/>
                                <w:szCs w:val="24"/>
                                <w:rtl w:val="0"/>
                                <w:lang w:val="en-US"/>
                              </w:rPr>
                              <w:t>Prof. Hunter</w:t>
                            </w:r>
                          </w:p>
                          <w:p>
                            <w:pPr>
                              <w:pStyle w:val="本文"/>
                              <w:jc w:val="both"/>
                              <w:rPr>
                                <w:rFonts w:ascii="Times New Roman" w:cs="Times New Roman" w:hAnsi="Times New Roman" w:eastAsia="Times New Roman"/>
                                <w:sz w:val="24"/>
                                <w:szCs w:val="24"/>
                              </w:rPr>
                            </w:pPr>
                            <w:r>
                              <w:rPr>
                                <w:rFonts w:ascii="Times New Roman"/>
                                <w:sz w:val="24"/>
                                <w:szCs w:val="24"/>
                                <w:rtl w:val="0"/>
                                <w:lang w:val="en-US"/>
                              </w:rPr>
                              <w:t>Draft #1</w:t>
                            </w:r>
                          </w:p>
                        </w:tc>
                      </w:tr>
                    </w:tbl>
                  </w:txbxContent>
                </v:textbox>
                <w10:wrap type="topAndBottom" side="bothSides" anchorx="page" anchory="page"/>
              </v:shape>
            </w:pict>
          </mc:Fallback>
        </mc:AlternateContent>
      </w:r>
      <w:r>
        <mc:AlternateContent>
          <mc:Choice Requires="wps">
            <w:drawing>
              <wp:anchor distT="0" distB="0" distL="0" distR="0" simplePos="0" relativeHeight="251660288" behindDoc="0" locked="0" layoutInCell="1" allowOverlap="1">
                <wp:simplePos x="0" y="0"/>
                <wp:positionH relativeFrom="page">
                  <wp:posOffset>3378581</wp:posOffset>
                </wp:positionH>
                <wp:positionV relativeFrom="page">
                  <wp:posOffset>914399</wp:posOffset>
                </wp:positionV>
                <wp:extent cx="1563370" cy="1261056"/>
                <wp:effectExtent l="0" t="0" r="0" b="0"/>
                <wp:wrapTopAndBottom distT="0" distB="0"/>
                <wp:docPr id="1073741826" name="officeArt object"/>
                <wp:cNvGraphicFramePr/>
                <a:graphic xmlns:a="http://schemas.openxmlformats.org/drawingml/2006/main">
                  <a:graphicData uri="http://schemas.microsoft.com/office/word/2010/wordprocessingShape">
                    <wps:wsp>
                      <wps:cNvSpPr/>
                      <wps:spPr>
                        <a:xfrm>
                          <a:off x="0" y="0"/>
                          <a:ext cx="1563370" cy="1261056"/>
                        </a:xfrm>
                        <a:prstGeom prst="rect">
                          <a:avLst/>
                        </a:prstGeom>
                      </wps:spPr>
                      <wps:txbx>
                        <w:txbxContent>
                          <w:tbl>
                            <w:tblPr>
                              <w:tblW w:w="2457" w:type="dxa"/>
                              <w:tblInd w:w="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57"/>
                            </w:tblGrid>
                            <w:tr>
                              <w:tblPrEx>
                                <w:shd w:val="clear" w:color="auto" w:fill="auto"/>
                              </w:tblPrEx>
                              <w:trPr>
                                <w:trHeight w:val="1821" w:hRule="atLeast"/>
                              </w:trPr>
                              <w:tc>
                                <w:tcPr>
                                  <w:tcW w:type="dxa" w:w="2457"/>
                                  <w:tcBorders>
                                    <w:top w:val="nil"/>
                                    <w:left w:val="nil"/>
                                    <w:bottom w:val="nil"/>
                                    <w:right w:val="nil"/>
                                  </w:tcBorders>
                                  <w:shd w:val="clear" w:color="auto" w:fill="auto"/>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27" type="#_x0000_t202" style="visibility:visible;position:absolute;margin-left:266.0pt;margin-top:72.0pt;width:123.1pt;height:99.3pt;z-index:25166028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bevel" linestyle="single" startarrow="none" startarrowwidth="medium" startarrowlength="medium" endarrow="none" endarrowwidth="medium" endarrowlength="medium"/>
                <v:textbox>
                  <w:txbxContent>
                    <w:tbl>
                      <w:tblPr>
                        <w:tblW w:w="2457" w:type="dxa"/>
                        <w:tblInd w:w="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57"/>
                      </w:tblGrid>
                      <w:tr>
                        <w:tblPrEx>
                          <w:shd w:val="clear" w:color="auto" w:fill="auto"/>
                        </w:tblPrEx>
                        <w:trPr>
                          <w:trHeight w:val="1821" w:hRule="atLeast"/>
                        </w:trPr>
                        <w:tc>
                          <w:tcPr>
                            <w:tcW w:type="dxa" w:w="2457"/>
                            <w:tcBorders>
                              <w:top w:val="nil"/>
                              <w:left w:val="nil"/>
                              <w:bottom w:val="nil"/>
                              <w:right w:val="nil"/>
                            </w:tcBorders>
                            <w:shd w:val="clear" w:color="auto" w:fill="auto"/>
                            <w:tcMar>
                              <w:top w:type="dxa" w:w="80"/>
                              <w:left w:type="dxa" w:w="80"/>
                              <w:bottom w:type="dxa" w:w="80"/>
                              <w:right w:type="dxa" w:w="80"/>
                            </w:tcMar>
                            <w:vAlign w:val="top"/>
                          </w:tcPr>
                          <w:p/>
                        </w:tc>
                      </w:tr>
                    </w:tbl>
                  </w:txbxContent>
                </v:textbox>
                <w10:wrap type="topAndBottom" side="bothSides" anchorx="page" anchory="page"/>
              </v:shape>
            </w:pict>
          </mc:Fallback>
        </mc:AlternateContent>
      </w:r>
      <w:r>
        <w:rPr>
          <w:rFonts w:ascii="Times New Roman"/>
          <w:sz w:val="24"/>
          <w:szCs w:val="24"/>
          <w:rtl w:val="0"/>
          <w:lang w:val="en-US"/>
        </w:rPr>
        <w:t>share something related of your common hobby and enjoy it. It also saves money. Third, roommates who try new things everyday will give you many opportunities. After undergoing new things, he can get new knowledge and experiences. He may invite you for his new challenge, then you can open the door to new world with him. In addition, new experiences will let you get opportunities to see and talk with many people. Exchange opinion with many people will develop yourself absolutely. Consider what characteristic is needed to your roommates to enjoy your student life and develop yourself in the school.</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角ゴ ProN W3">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本文">
    <w:name w:val="本文"/>
    <w:next w:val="本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ヒラギノ角ゴ ProN W3"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