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BCAF" w14:textId="0FE13E1C" w:rsidR="00DB5DB5" w:rsidRPr="001B4690" w:rsidRDefault="008227E0" w:rsidP="001B4690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1B4690">
        <w:rPr>
          <w:rFonts w:cstheme="minorHAnsi"/>
          <w:b/>
          <w:i/>
          <w:color w:val="000000"/>
          <w:sz w:val="32"/>
          <w:szCs w:val="26"/>
        </w:rPr>
        <w:t xml:space="preserve">A </w:t>
      </w:r>
      <w:r w:rsidR="00513E6B">
        <w:rPr>
          <w:rFonts w:cstheme="minorHAnsi"/>
          <w:b/>
          <w:i/>
          <w:color w:val="000000"/>
          <w:sz w:val="32"/>
          <w:szCs w:val="26"/>
        </w:rPr>
        <w:t>román</w:t>
      </w:r>
      <w:r w:rsidRPr="001B4690">
        <w:rPr>
          <w:rFonts w:cstheme="minorHAnsi"/>
          <w:b/>
          <w:i/>
          <w:color w:val="000000"/>
          <w:sz w:val="32"/>
          <w:szCs w:val="26"/>
        </w:rPr>
        <w:t xml:space="preserve"> és a gótika főbb stílusjegye. </w:t>
      </w:r>
      <w:r w:rsidR="00513E6B">
        <w:rPr>
          <w:rFonts w:cstheme="minorHAnsi"/>
          <w:b/>
          <w:i/>
          <w:color w:val="000000"/>
          <w:sz w:val="32"/>
          <w:szCs w:val="26"/>
        </w:rPr>
        <w:br/>
      </w:r>
      <w:r w:rsidRPr="001B4690">
        <w:rPr>
          <w:rFonts w:cstheme="minorHAnsi"/>
          <w:b/>
          <w:i/>
          <w:color w:val="000000"/>
          <w:sz w:val="32"/>
          <w:szCs w:val="26"/>
        </w:rPr>
        <w:t>A lovagi kultúra és értékrend néhány eleme</w:t>
      </w:r>
      <w:r w:rsidR="00DB5DB5" w:rsidRPr="001B4690">
        <w:rPr>
          <w:rFonts w:cstheme="minorHAnsi"/>
          <w:b/>
          <w:i/>
          <w:color w:val="000000"/>
          <w:sz w:val="32"/>
          <w:szCs w:val="26"/>
        </w:rPr>
        <w:t>.</w:t>
      </w:r>
      <w:r w:rsidR="001B4690">
        <w:rPr>
          <w:rFonts w:cstheme="minorHAnsi"/>
          <w:b/>
          <w:i/>
          <w:color w:val="000000"/>
          <w:sz w:val="32"/>
          <w:szCs w:val="26"/>
        </w:rPr>
        <w:br/>
      </w:r>
      <w:r w:rsidR="00DB5DB5" w:rsidRPr="001B4690">
        <w:rPr>
          <w:rFonts w:cstheme="minorHAnsi"/>
          <w:b/>
          <w:i/>
          <w:color w:val="000000"/>
          <w:sz w:val="32"/>
          <w:szCs w:val="26"/>
        </w:rPr>
        <w:t>A humanizmus és a reneszánsz f</w:t>
      </w:r>
      <w:r w:rsidR="00522D9C" w:rsidRPr="001B4690">
        <w:rPr>
          <w:rFonts w:cstheme="minorHAnsi"/>
          <w:b/>
          <w:i/>
          <w:color w:val="000000"/>
          <w:sz w:val="32"/>
          <w:szCs w:val="26"/>
        </w:rPr>
        <w:t>őbb jellemzői</w:t>
      </w:r>
    </w:p>
    <w:p w14:paraId="08CB6C39" w14:textId="25B3B926" w:rsidR="00513E6B" w:rsidRDefault="00513E6B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>
        <w:rPr>
          <w:rFonts w:cstheme="minorHAnsi"/>
          <w:i/>
          <w:color w:val="000000"/>
          <w:sz w:val="28"/>
          <w:szCs w:val="26"/>
          <w:u w:val="single"/>
        </w:rPr>
        <w:t>Román</w:t>
      </w:r>
    </w:p>
    <w:p w14:paraId="7AD2A644" w14:textId="00079D52" w:rsidR="00391A75" w:rsidRPr="00391A75" w:rsidRDefault="00391A75" w:rsidP="00970B1A">
      <w:pPr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 xml:space="preserve">A román stílus </w:t>
      </w:r>
      <w:r w:rsidR="00675335">
        <w:rPr>
          <w:rFonts w:cstheme="minorHAnsi"/>
          <w:color w:val="000000"/>
          <w:sz w:val="24"/>
          <w:szCs w:val="26"/>
        </w:rPr>
        <w:t>az ókori római építészetnek a tovább gondolása.</w:t>
      </w:r>
      <w:r w:rsidR="00764BD5">
        <w:rPr>
          <w:rFonts w:cstheme="minorHAnsi"/>
          <w:color w:val="000000"/>
          <w:sz w:val="24"/>
          <w:szCs w:val="26"/>
        </w:rPr>
        <w:t xml:space="preserve"> A stílus jellegzetessége a zömök, vastag kőből épült falak</w:t>
      </w:r>
      <w:r w:rsidR="001B7F79">
        <w:rPr>
          <w:rFonts w:cstheme="minorHAnsi"/>
          <w:color w:val="000000"/>
          <w:sz w:val="24"/>
          <w:szCs w:val="26"/>
        </w:rPr>
        <w:t xml:space="preserve"> és szűk lőrésszerű ablakok. Ha </w:t>
      </w:r>
      <w:r w:rsidR="003218AF">
        <w:rPr>
          <w:rFonts w:cstheme="minorHAnsi"/>
          <w:color w:val="000000"/>
          <w:sz w:val="24"/>
          <w:szCs w:val="26"/>
        </w:rPr>
        <w:t xml:space="preserve">ugyanis veszély fenyegette a lakosságot, akkor ezekben a templomokban kerested menedéket. </w:t>
      </w:r>
      <w:r w:rsidR="003F0476">
        <w:rPr>
          <w:rFonts w:cstheme="minorHAnsi"/>
          <w:color w:val="000000"/>
          <w:sz w:val="24"/>
          <w:szCs w:val="26"/>
        </w:rPr>
        <w:t>Ilyen stílusú épület a Jáki-templom.</w:t>
      </w:r>
      <w:bookmarkStart w:id="0" w:name="_GoBack"/>
      <w:bookmarkEnd w:id="0"/>
    </w:p>
    <w:p w14:paraId="7A736BFC" w14:textId="4BB0047E" w:rsidR="00B81FB7" w:rsidRPr="001B4690" w:rsidRDefault="00B81FB7" w:rsidP="00970B1A">
      <w:pPr>
        <w:rPr>
          <w:rFonts w:cstheme="minorHAnsi"/>
          <w:i/>
          <w:color w:val="000000"/>
          <w:sz w:val="26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Gótika</w:t>
      </w:r>
    </w:p>
    <w:p w14:paraId="3C9439D5" w14:textId="38EACFBD" w:rsidR="00FC1AFC" w:rsidRDefault="00B81FB7" w:rsidP="00970B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gótika a legjelentősebb az építészetben. A román stílussal ellentétben a </w:t>
      </w:r>
      <w:r w:rsidR="006525F0">
        <w:rPr>
          <w:rFonts w:cstheme="minorHAnsi"/>
          <w:color w:val="000000"/>
          <w:sz w:val="26"/>
          <w:szCs w:val="26"/>
        </w:rPr>
        <w:t>megjelenésen van a hangsúly, ami csúcsíves boltozatokban, díszes üvegablakokban, és magasra törő díszes tornyokban jelenik meg</w:t>
      </w:r>
      <w:r w:rsidR="00C00167">
        <w:rPr>
          <w:rFonts w:cstheme="minorHAnsi"/>
          <w:color w:val="000000"/>
          <w:sz w:val="26"/>
          <w:szCs w:val="26"/>
        </w:rPr>
        <w:t>. A zenében a többszólamú énekek, gregorián és a trubadúr költészet a jellemző.</w:t>
      </w:r>
      <w:r w:rsidR="001B7F79">
        <w:rPr>
          <w:rFonts w:cstheme="minorHAnsi"/>
          <w:color w:val="000000"/>
          <w:sz w:val="26"/>
          <w:szCs w:val="26"/>
        </w:rPr>
        <w:t xml:space="preserve"> Ilyen stílusú épület a Mátyás-templom.</w:t>
      </w:r>
    </w:p>
    <w:p w14:paraId="14860B9C" w14:textId="7FB2EE9D" w:rsidR="00D9490B" w:rsidRPr="001B4690" w:rsidRDefault="00D9490B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A lovagi életmód a középkorban</w:t>
      </w:r>
    </w:p>
    <w:p w14:paraId="0E78E75D" w14:textId="3C86865D" w:rsidR="00D9490B" w:rsidRDefault="00E210F5" w:rsidP="00970B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középkorra jellemző nehézpáncélos katoná</w:t>
      </w:r>
      <w:r w:rsidR="00513177">
        <w:rPr>
          <w:rFonts w:cstheme="minorHAnsi"/>
          <w:color w:val="000000"/>
          <w:sz w:val="26"/>
          <w:szCs w:val="26"/>
        </w:rPr>
        <w:t xml:space="preserve">t nevezték lovagnak, mivel ez a felszerelés nagyon drága volt ezért csak a tehetős földesurak lehettek eleinte lovagok. </w:t>
      </w:r>
      <w:r w:rsidR="00364B20">
        <w:rPr>
          <w:rFonts w:cstheme="minorHAnsi"/>
          <w:color w:val="000000"/>
          <w:sz w:val="26"/>
          <w:szCs w:val="26"/>
        </w:rPr>
        <w:t>A lovagoknak ezen</w:t>
      </w:r>
      <w:r w:rsidR="00E431F4">
        <w:rPr>
          <w:rFonts w:cstheme="minorHAnsi"/>
          <w:color w:val="000000"/>
          <w:sz w:val="26"/>
          <w:szCs w:val="26"/>
        </w:rPr>
        <w:t xml:space="preserve">felül erényei is voltak, ezek közül a legfontosabbak a hűség a királyhoz, </w:t>
      </w:r>
      <w:r w:rsidR="00100417">
        <w:rPr>
          <w:rFonts w:cstheme="minorHAnsi"/>
          <w:color w:val="000000"/>
          <w:sz w:val="26"/>
          <w:szCs w:val="26"/>
        </w:rPr>
        <w:t xml:space="preserve">a becsületesség, a gyengék, nők és gyerekek </w:t>
      </w:r>
      <w:r w:rsidR="00E80D0D">
        <w:rPr>
          <w:rFonts w:cstheme="minorHAnsi"/>
          <w:color w:val="000000"/>
          <w:sz w:val="26"/>
          <w:szCs w:val="26"/>
        </w:rPr>
        <w:t>védelme,</w:t>
      </w:r>
      <w:r w:rsidR="00100417">
        <w:rPr>
          <w:rFonts w:cstheme="minorHAnsi"/>
          <w:color w:val="000000"/>
          <w:sz w:val="26"/>
          <w:szCs w:val="26"/>
        </w:rPr>
        <w:t xml:space="preserve"> valamint a legyőzöttek megkímélése.</w:t>
      </w:r>
      <w:r w:rsidR="00E80D0D">
        <w:rPr>
          <w:rFonts w:cstheme="minorHAnsi"/>
          <w:color w:val="000000"/>
          <w:sz w:val="26"/>
          <w:szCs w:val="26"/>
        </w:rPr>
        <w:t xml:space="preserve"> Persze nem minden lovag tartotta be ezeket az erényeket. A lovagok ezenfelül gyakran részt vettek lovagi </w:t>
      </w:r>
      <w:r w:rsidR="007D242B">
        <w:rPr>
          <w:rFonts w:cstheme="minorHAnsi"/>
          <w:color w:val="000000"/>
          <w:sz w:val="26"/>
          <w:szCs w:val="26"/>
        </w:rPr>
        <w:t>tornákon,</w:t>
      </w:r>
      <w:r w:rsidR="005269D7">
        <w:rPr>
          <w:rFonts w:cstheme="minorHAnsi"/>
          <w:color w:val="000000"/>
          <w:sz w:val="26"/>
          <w:szCs w:val="26"/>
        </w:rPr>
        <w:t xml:space="preserve"> ahol győzni nagy dicsőség volt.</w:t>
      </w:r>
    </w:p>
    <w:p w14:paraId="330163FD" w14:textId="42FF90EF" w:rsidR="007D242B" w:rsidRDefault="007D242B" w:rsidP="00970B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terjeszkedő Arab Birodalom elfoglalta a Szent Földet és a keresztény zarándokokat pedig sokszor elfogt</w:t>
      </w:r>
      <w:r w:rsidR="00C439FE">
        <w:rPr>
          <w:rFonts w:cstheme="minorHAnsi"/>
          <w:color w:val="000000"/>
          <w:sz w:val="26"/>
          <w:szCs w:val="26"/>
        </w:rPr>
        <w:t xml:space="preserve">a. Hogy biztonságosan lehessen elzarándokolni a pápa kereszteshadjáratot hirdetett a Szent Föld felszabadítása nevében. Aki részt vett ezeken a hadjáratokon az bűnbocsánatban részesült és persze </w:t>
      </w:r>
      <w:r w:rsidR="00B7096E">
        <w:rPr>
          <w:rFonts w:cstheme="minorHAnsi"/>
          <w:color w:val="000000"/>
          <w:sz w:val="26"/>
          <w:szCs w:val="26"/>
        </w:rPr>
        <w:t>hadizsákmányban is.</w:t>
      </w:r>
    </w:p>
    <w:p w14:paraId="6167F92A" w14:textId="28B39760" w:rsidR="00173105" w:rsidRPr="001B4690" w:rsidRDefault="00173105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Humanizmus</w:t>
      </w:r>
    </w:p>
    <w:p w14:paraId="0CC30882" w14:textId="0F910FA1" w:rsidR="00173105" w:rsidRDefault="00173105" w:rsidP="00970B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középkori gondolkodás központjában a vallás állt. Ez azt jelentette, hogy az életet azért éljük meg egy szenvedésként, mert a halálunk után egy nagyobb jóban részesülünk.</w:t>
      </w:r>
      <w:r w:rsidR="00327C99">
        <w:rPr>
          <w:rFonts w:cstheme="minorHAnsi"/>
          <w:color w:val="000000"/>
          <w:sz w:val="26"/>
          <w:szCs w:val="26"/>
        </w:rPr>
        <w:t xml:space="preserve"> Voltak azonban akik úgy gondolták, hogy az élet központjában az embernek kéne állnia és az örömök kereséséről és élvezéséről szól életünk.</w:t>
      </w:r>
      <w:r w:rsidR="000D3E9C">
        <w:rPr>
          <w:rFonts w:cstheme="minorHAnsi"/>
          <w:color w:val="000000"/>
          <w:sz w:val="26"/>
          <w:szCs w:val="26"/>
        </w:rPr>
        <w:t xml:space="preserve"> Az így gondolkodó embereket nevezzük humanistáknak.</w:t>
      </w:r>
    </w:p>
    <w:p w14:paraId="4B114265" w14:textId="7B3ABFE9" w:rsidR="00852D7B" w:rsidRPr="001B4690" w:rsidRDefault="00852D7B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Reneszánsz</w:t>
      </w:r>
    </w:p>
    <w:p w14:paraId="17E143F6" w14:textId="0F3C7C84" w:rsidR="00852D7B" w:rsidRPr="00C00167" w:rsidRDefault="002C5D93" w:rsidP="00970B1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lastRenderedPageBreak/>
        <w:t>A Reneszánsz művészek az ókor görög és római kultúrát vették alapul.</w:t>
      </w:r>
      <w:r w:rsidR="002E3781">
        <w:rPr>
          <w:rFonts w:cstheme="minorHAnsi"/>
          <w:color w:val="000000"/>
          <w:sz w:val="26"/>
          <w:szCs w:val="26"/>
        </w:rPr>
        <w:t xml:space="preserve"> Mivel a stílus az ókori művészetek újjászületése, ezért ezt Reneszánsznak nevezzük</w:t>
      </w:r>
      <w:r w:rsidR="00B5654D">
        <w:rPr>
          <w:rFonts w:cstheme="minorHAnsi"/>
          <w:color w:val="000000"/>
          <w:sz w:val="26"/>
          <w:szCs w:val="26"/>
        </w:rPr>
        <w:t>, hazája Észak-Itália volt.</w:t>
      </w:r>
      <w:r w:rsidR="007E3CD4">
        <w:rPr>
          <w:rFonts w:cstheme="minorHAnsi"/>
          <w:color w:val="000000"/>
          <w:sz w:val="26"/>
          <w:szCs w:val="26"/>
        </w:rPr>
        <w:t xml:space="preserve"> Ezalatt az idő alatt olyan emberek </w:t>
      </w:r>
      <w:r w:rsidR="009E0DA2">
        <w:rPr>
          <w:rFonts w:cstheme="minorHAnsi"/>
          <w:color w:val="000000"/>
          <w:sz w:val="26"/>
          <w:szCs w:val="26"/>
        </w:rPr>
        <w:t>tevékenykedtek,</w:t>
      </w:r>
      <w:r w:rsidR="007E3CD4">
        <w:rPr>
          <w:rFonts w:cstheme="minorHAnsi"/>
          <w:color w:val="000000"/>
          <w:sz w:val="26"/>
          <w:szCs w:val="26"/>
        </w:rPr>
        <w:t xml:space="preserve"> mint Leonardo </w:t>
      </w:r>
      <w:r w:rsidR="009E0DA2">
        <w:rPr>
          <w:rFonts w:cstheme="minorHAnsi"/>
          <w:color w:val="000000"/>
          <w:sz w:val="26"/>
          <w:szCs w:val="26"/>
        </w:rPr>
        <w:t xml:space="preserve">da Vinci. Az építészetben jellemzően az ókori oszlopos, kupolás </w:t>
      </w:r>
      <w:r w:rsidR="002A34AB">
        <w:rPr>
          <w:rFonts w:cstheme="minorHAnsi"/>
          <w:color w:val="000000"/>
          <w:sz w:val="26"/>
          <w:szCs w:val="26"/>
        </w:rPr>
        <w:t>építkezés dominált.</w:t>
      </w:r>
    </w:p>
    <w:sectPr w:rsidR="00852D7B" w:rsidRPr="00C00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7F"/>
    <w:rsid w:val="000D3E9C"/>
    <w:rsid w:val="00100417"/>
    <w:rsid w:val="00173105"/>
    <w:rsid w:val="0019537D"/>
    <w:rsid w:val="001B4690"/>
    <w:rsid w:val="001B7F79"/>
    <w:rsid w:val="002A34AB"/>
    <w:rsid w:val="002B6E63"/>
    <w:rsid w:val="002C5D93"/>
    <w:rsid w:val="002E3781"/>
    <w:rsid w:val="003218AF"/>
    <w:rsid w:val="00327C99"/>
    <w:rsid w:val="00364B20"/>
    <w:rsid w:val="00391A75"/>
    <w:rsid w:val="003F0476"/>
    <w:rsid w:val="00483998"/>
    <w:rsid w:val="004861A2"/>
    <w:rsid w:val="00513177"/>
    <w:rsid w:val="00513E6B"/>
    <w:rsid w:val="00522D9C"/>
    <w:rsid w:val="005269D7"/>
    <w:rsid w:val="006525F0"/>
    <w:rsid w:val="00675335"/>
    <w:rsid w:val="00764BD5"/>
    <w:rsid w:val="007D242B"/>
    <w:rsid w:val="007E3CD4"/>
    <w:rsid w:val="008227E0"/>
    <w:rsid w:val="00852D7B"/>
    <w:rsid w:val="00970B1A"/>
    <w:rsid w:val="00971CED"/>
    <w:rsid w:val="009E0DA2"/>
    <w:rsid w:val="00B5654D"/>
    <w:rsid w:val="00B7096E"/>
    <w:rsid w:val="00B81FB7"/>
    <w:rsid w:val="00C00167"/>
    <w:rsid w:val="00C439FE"/>
    <w:rsid w:val="00D9490B"/>
    <w:rsid w:val="00DB5DB5"/>
    <w:rsid w:val="00E210F5"/>
    <w:rsid w:val="00E431F4"/>
    <w:rsid w:val="00E80D0D"/>
    <w:rsid w:val="00EB197F"/>
    <w:rsid w:val="00F0692D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0195"/>
  <w15:chartTrackingRefBased/>
  <w15:docId w15:val="{ACB77E20-A910-4503-961D-59BD7A59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70B1A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290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44</cp:revision>
  <dcterms:created xsi:type="dcterms:W3CDTF">2019-04-29T19:48:00Z</dcterms:created>
  <dcterms:modified xsi:type="dcterms:W3CDTF">2019-04-30T16:30:00Z</dcterms:modified>
</cp:coreProperties>
</file>