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5D4348" w:rsidRDefault="005D4348">
      <w:pPr>
        <w:spacing w:after="0"/>
        <w:jc w:val="center"/>
      </w:pPr>
    </w:p>
    <w:p w:rsidR="005D4348" w:rsidRDefault="00A23532">
      <w:pPr>
        <w:spacing w:before="1800" w:after="240"/>
        <w:jc w:val="center"/>
      </w:pPr>
      <w:r>
        <w:rPr>
          <w:rFonts w:asciiTheme="majorHAnsi" w:hAnsiTheme="majorHAnsi"/>
          <w:b/>
          <w:bCs/>
          <w:color w:val="002060"/>
          <w:spacing w:val="40"/>
          <w:sz w:val="26"/>
          <w:szCs w:val="26"/>
        </w:rPr>
        <w:t>COOPERATIVE AI SYSTEM</w:t>
      </w:r>
    </w:p>
    <w:p w:rsidR="005D4348" w:rsidRDefault="005D4348">
      <w:pPr>
        <w:pBdr>
          <w:bottom w:val="single" w:sz="18" w:space="12" w:color="002060"/>
        </w:pBdr>
        <w:spacing w:after="480"/>
        <w:jc w:val="center"/>
      </w:pPr>
    </w:p>
    <w:p w:rsidR="005D4348" w:rsidRDefault="00A23532">
      <w:pPr>
        <w:spacing w:after="360"/>
        <w:jc w:val="center"/>
      </w:pPr>
      <w:r>
        <w:rPr>
          <w:rFonts w:asciiTheme="majorHAnsi" w:hAnsiTheme="majorHAnsi"/>
          <w:b/>
          <w:bCs/>
          <w:color w:val="002060"/>
          <w:sz w:val="60"/>
          <w:szCs w:val="60"/>
        </w:rPr>
        <w:t>Build Log</w:t>
      </w:r>
    </w:p>
    <w:p w:rsidR="005D4348" w:rsidRDefault="00A23532">
      <w:pPr>
        <w:spacing w:after="900"/>
        <w:jc w:val="center"/>
      </w:pPr>
      <w:r>
        <w:rPr>
          <w:rFonts w:asciiTheme="majorHAnsi" w:hAnsiTheme="majorHAnsi"/>
          <w:i/>
          <w:iCs/>
          <w:color w:val="000000"/>
          <w:sz w:val="28"/>
          <w:szCs w:val="28"/>
        </w:rPr>
        <w:t>n8n Mini-Test Implementatio</w:t>
      </w:r>
      <w:bookmarkStart w:id="0" w:name="_GoBack"/>
      <w:bookmarkEnd w:id="0"/>
      <w:r>
        <w:rPr>
          <w:rFonts w:asciiTheme="majorHAnsi" w:hAnsiTheme="majorHAnsi"/>
          <w:i/>
          <w:iCs/>
          <w:color w:val="000000"/>
          <w:sz w:val="28"/>
          <w:szCs w:val="28"/>
        </w:rPr>
        <w:t>n Findings</w:t>
      </w:r>
    </w:p>
    <w:p w:rsidR="005D4348" w:rsidRDefault="00A23532">
      <w:pPr>
        <w:spacing w:after="240"/>
        <w:jc w:val="center"/>
      </w:pPr>
      <w:r>
        <w:rPr>
          <w:rFonts w:asciiTheme="majorHAnsi" w:hAnsiTheme="majorHAnsi"/>
          <w:b/>
          <w:bCs/>
          <w:color w:val="002060"/>
          <w:spacing w:val="20"/>
          <w:sz w:val="22"/>
          <w:szCs w:val="22"/>
        </w:rPr>
        <w:t>DOCUMENT 5 OF 5 · LIVING DOCUMENT</w:t>
      </w:r>
    </w:p>
    <w:p w:rsidR="005D4348" w:rsidRDefault="00A23532">
      <w:pPr>
        <w:spacing w:before="1800" w:after="0"/>
        <w:jc w:val="center"/>
      </w:pPr>
      <w:r>
        <w:rPr>
          <w:rFonts w:ascii="Cambria" w:hAnsi="Cambria"/>
          <w:color w:val="000000"/>
          <w:sz w:val="20"/>
          <w:szCs w:val="20"/>
        </w:rPr>
        <w:t>Living document · Last updated August 2026 · SAMCO</w:t>
      </w:r>
    </w:p>
    <w:p w:rsidR="005D4348" w:rsidRDefault="00A23532">
      <w:pPr>
        <w:spacing w:after="0"/>
        <w:jc w:val="center"/>
        <w:rPr>
          <w:color w:val="000000"/>
          <w:sz w:val="20"/>
          <w:szCs w:val="20"/>
        </w:rPr>
        <w:sectPr w:rsidR="005D4348">
          <w:pgSz w:w="12240" w:h="15840"/>
          <w:pgMar w:top="1440" w:right="1440" w:bottom="1440" w:left="1440" w:header="0" w:footer="0" w:gutter="0"/>
          <w:cols w:space="720"/>
          <w:vAlign w:val="center"/>
          <w:docGrid w:linePitch="100"/>
        </w:sectPr>
      </w:pPr>
      <w:r>
        <w:rPr>
          <w:color w:val="000000"/>
          <w:sz w:val="20"/>
          <w:szCs w:val="20"/>
        </w:rPr>
        <w:t xml:space="preserve">Cooperative AI </w:t>
      </w:r>
      <w:r w:rsidR="00BE0C96">
        <w:rPr>
          <w:color w:val="000000"/>
          <w:sz w:val="20"/>
          <w:szCs w:val="20"/>
        </w:rPr>
        <w:t>System Consolidated Document Set</w:t>
      </w:r>
    </w:p>
    <w:p w:rsidR="005D4348" w:rsidRDefault="00A23532">
      <w:pPr>
        <w:pStyle w:val="Heading1"/>
      </w:pPr>
      <w:bookmarkStart w:id="1" w:name="cooperative-ai-system"/>
      <w:bookmarkStart w:id="2" w:name="_Toc236535298"/>
      <w:r>
        <w:lastRenderedPageBreak/>
        <w:t>C</w:t>
      </w:r>
      <w:r>
        <w:t>OOPERATIVE AI SYSTEM</w:t>
      </w:r>
      <w:bookmarkEnd w:id="2"/>
    </w:p>
    <w:p w:rsidR="005D4348" w:rsidRDefault="00A23532">
      <w:pPr>
        <w:pStyle w:val="Heading2"/>
      </w:pPr>
      <w:bookmarkStart w:id="3" w:name="Xcdf4502c1312a0fc4367fbd7a46abd6bf4cfae8"/>
      <w:bookmarkStart w:id="4" w:name="_Toc236535299"/>
      <w:r>
        <w:t xml:space="preserve">Document 5 of 5 </w:t>
      </w:r>
      <w:r>
        <w:t xml:space="preserve"> Build Log (n8n Mini-Test Implementation Findings)</w:t>
      </w:r>
      <w:bookmarkEnd w:id="4"/>
    </w:p>
    <w:p w:rsidR="005D4348" w:rsidRDefault="00A23532">
      <w:pPr>
        <w:pStyle w:val="FirstParagraph"/>
      </w:pPr>
      <w:r>
        <w:rPr>
          <w:i/>
          <w:iCs/>
        </w:rPr>
        <w:t>Living document · Last updated August 2026 · SAMCO</w:t>
      </w:r>
    </w:p>
    <w:p w:rsidR="005D4348" w:rsidRDefault="00A23532">
      <w:pPr>
        <w:pStyle w:val="BodyText"/>
      </w:pPr>
      <w:r>
        <w:rPr>
          <w:b/>
          <w:bCs/>
        </w:rPr>
        <w:t>PURPOSE:</w:t>
      </w:r>
      <w:r>
        <w:t xml:space="preserve"> An empirical record of what building the n8n mini-test has actually </w:t>
      </w:r>
      <w:r w:rsidR="00BE0C96">
        <w:t>surfaced evidence</w:t>
      </w:r>
      <w:r>
        <w:t>, not proposal</w:t>
      </w:r>
      <w:r>
        <w:t>. Unlike Documents 1–4, this one is meant to be updated continuously as the build progresses, not revised on a planning cycle. Keeping it separate from the planning documents is deliberate: mixing a living log into static planning content would leave those</w:t>
      </w:r>
      <w:r>
        <w:t xml:space="preserve"> documents perpetually “in progress.”</w:t>
      </w:r>
    </w:p>
    <w:p w:rsidR="005D4348" w:rsidRDefault="00A23532">
      <w:pPr>
        <w:pStyle w:val="BodyText"/>
      </w:pPr>
      <w:r>
        <w:rPr>
          <w:b/>
          <w:bCs/>
        </w:rPr>
        <w:t>CONSOLIDATION NOTE (v2.0):</w:t>
      </w:r>
      <w:r>
        <w:t xml:space="preserve"> Content unchanged from the standalone </w:t>
      </w:r>
      <w:r>
        <w:rPr>
          <w:i/>
          <w:iCs/>
        </w:rPr>
        <w:t>n8n Mini-</w:t>
      </w:r>
      <w:r w:rsidR="00BE0C96">
        <w:rPr>
          <w:i/>
          <w:iCs/>
        </w:rPr>
        <w:t>Test Implementation</w:t>
      </w:r>
      <w:r>
        <w:rPr>
          <w:i/>
          <w:iCs/>
        </w:rPr>
        <w:t xml:space="preserve"> Findings</w:t>
      </w:r>
      <w:r>
        <w:t xml:space="preserve"> document (v1.0). Filed here as the fifth and final document in the consolidated corpus purely to give it a number</w:t>
      </w:r>
      <w:r>
        <w:t xml:space="preserve">ed place in the reading order </w:t>
      </w:r>
      <w:r>
        <w:t xml:space="preserve"> its update rhythm and authorship process remain distinct from Documents 1–4.</w:t>
      </w:r>
    </w:p>
    <w:p w:rsidR="005D4348" w:rsidRDefault="00A23532">
      <w:r>
        <w:pict>
          <v:rect id="_x0000_i1039" style="width:0;height:1.5pt" o:hralign="center" o:hrstd="t" o:hr="t"/>
        </w:pict>
      </w:r>
    </w:p>
    <w:p w:rsidR="005D4348" w:rsidRDefault="00A23532">
      <w:pPr>
        <w:pStyle w:val="Heading1"/>
      </w:pPr>
      <w:bookmarkStart w:id="5" w:name="X2bfe9eb41d7df7631a27b182db6dd7fd2225d73"/>
      <w:bookmarkStart w:id="6" w:name="_Toc236535300"/>
      <w:bookmarkEnd w:id="1"/>
      <w:bookmarkEnd w:id="3"/>
      <w:r>
        <w:t>1. What the Mini-Test Proves vs. Does Not Prove</w:t>
      </w:r>
      <w:bookmarkEnd w:id="6"/>
    </w:p>
    <w:p w:rsidR="005D4348" w:rsidRDefault="00A23532">
      <w:pPr>
        <w:pStyle w:val="FirstParagraph"/>
      </w:pPr>
      <w:r>
        <w:t xml:space="preserve">Per Addendum §1, the mini-test validates governance rule correctness </w:t>
      </w:r>
      <w:r>
        <w:t xml:space="preserve">only </w:t>
      </w:r>
      <w:r>
        <w:t xml:space="preserve"> no AI model is invoked at this stage, and no human review step is exercised. The findings below are therefore about the reliability of the rules engine and its underlying data handling, not about staff behavior, hallucination risk, or usability. Thi</w:t>
      </w:r>
      <w:r>
        <w:t xml:space="preserve">s distinction is restated here because it directly frames how the findings below should be read </w:t>
      </w:r>
      <w:r>
        <w:t xml:space="preserve"> as bugs in a deterministic system, not as evidence about AI trustworthiness.</w:t>
      </w:r>
    </w:p>
    <w:p w:rsidR="005D4348" w:rsidRDefault="00A23532">
      <w:pPr>
        <w:pStyle w:val="Heading1"/>
      </w:pPr>
      <w:bookmarkStart w:id="7" w:name="build-status-summary"/>
      <w:bookmarkStart w:id="8" w:name="_Toc236535301"/>
      <w:bookmarkEnd w:id="5"/>
      <w:r>
        <w:t>2. Build Status Summary</w:t>
      </w:r>
      <w:bookmarkEnd w:id="8"/>
    </w:p>
    <w:tbl>
      <w:tblPr>
        <w:tblStyle w:val="Table"/>
        <w:tblW w:w="4865"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20" w:firstRow="1" w:lastRow="0" w:firstColumn="0" w:lastColumn="0" w:noHBand="0" w:noVBand="0"/>
      </w:tblPr>
      <w:tblGrid>
        <w:gridCol w:w="2906"/>
        <w:gridCol w:w="1507"/>
        <w:gridCol w:w="4685"/>
      </w:tblGrid>
      <w:tr w:rsidR="005D4348" w:rsidTr="00BE0C96">
        <w:trPr>
          <w:cnfStyle w:val="100000000000" w:firstRow="1" w:lastRow="0" w:firstColumn="0" w:lastColumn="0" w:oddVBand="0" w:evenVBand="0" w:oddHBand="0" w:evenHBand="0" w:firstRowFirstColumn="0" w:firstRowLastColumn="0" w:lastRowFirstColumn="0" w:lastRowLastColumn="0"/>
          <w:tblHeader/>
        </w:trPr>
        <w:tc>
          <w:tcPr>
            <w:tcW w:w="1597" w:type="pct"/>
            <w:tcBorders>
              <w:bottom w:val="none" w:sz="0" w:space="0" w:color="auto"/>
            </w:tcBorders>
          </w:tcPr>
          <w:p w:rsidR="005D4348" w:rsidRDefault="00A23532" w:rsidP="00BE0C96">
            <w:pPr>
              <w:pStyle w:val="Compact"/>
              <w:jc w:val="center"/>
            </w:pPr>
            <w:r>
              <w:rPr>
                <w:b/>
                <w:bCs/>
              </w:rPr>
              <w:t>Phase</w:t>
            </w:r>
          </w:p>
        </w:tc>
        <w:tc>
          <w:tcPr>
            <w:tcW w:w="828" w:type="pct"/>
            <w:tcBorders>
              <w:bottom w:val="none" w:sz="0" w:space="0" w:color="auto"/>
            </w:tcBorders>
          </w:tcPr>
          <w:p w:rsidR="005D4348" w:rsidRDefault="00A23532" w:rsidP="00BE0C96">
            <w:pPr>
              <w:pStyle w:val="Compact"/>
              <w:jc w:val="center"/>
            </w:pPr>
            <w:r>
              <w:rPr>
                <w:b/>
                <w:bCs/>
              </w:rPr>
              <w:t>Status</w:t>
            </w:r>
          </w:p>
        </w:tc>
        <w:tc>
          <w:tcPr>
            <w:tcW w:w="2575" w:type="pct"/>
            <w:tcBorders>
              <w:bottom w:val="none" w:sz="0" w:space="0" w:color="auto"/>
            </w:tcBorders>
          </w:tcPr>
          <w:p w:rsidR="005D4348" w:rsidRDefault="00A23532" w:rsidP="00BE0C96">
            <w:pPr>
              <w:pStyle w:val="Compact"/>
              <w:jc w:val="center"/>
            </w:pPr>
            <w:r>
              <w:rPr>
                <w:b/>
                <w:bCs/>
              </w:rPr>
              <w:t>Notes</w:t>
            </w:r>
          </w:p>
        </w:tc>
      </w:tr>
      <w:tr w:rsidR="005D4348" w:rsidTr="00BE0C96">
        <w:tc>
          <w:tcPr>
            <w:tcW w:w="1597" w:type="pct"/>
          </w:tcPr>
          <w:p w:rsidR="005D4348" w:rsidRDefault="00A23532">
            <w:pPr>
              <w:pStyle w:val="Compact"/>
            </w:pPr>
            <w:r>
              <w:t xml:space="preserve">Phase 0 </w:t>
            </w:r>
            <w:r>
              <w:t xml:space="preserve"> Environment provisioning</w:t>
            </w:r>
          </w:p>
        </w:tc>
        <w:tc>
          <w:tcPr>
            <w:tcW w:w="828" w:type="pct"/>
          </w:tcPr>
          <w:p w:rsidR="005D4348" w:rsidRDefault="00A23532">
            <w:pPr>
              <w:pStyle w:val="Compact"/>
            </w:pPr>
            <w:r>
              <w:t>Complete</w:t>
            </w:r>
          </w:p>
        </w:tc>
        <w:tc>
          <w:tcPr>
            <w:tcW w:w="2575" w:type="pct"/>
          </w:tcPr>
          <w:p w:rsidR="005D4348" w:rsidRDefault="00A23532">
            <w:pPr>
              <w:pStyle w:val="Compact"/>
            </w:pPr>
            <w:r>
              <w:t>Docker Compose, self-hosted n8n, Postgres (n8n_db + cas_test).</w:t>
            </w:r>
          </w:p>
        </w:tc>
      </w:tr>
      <w:tr w:rsidR="005D4348" w:rsidTr="00BE0C96">
        <w:tc>
          <w:tcPr>
            <w:tcW w:w="1597" w:type="pct"/>
          </w:tcPr>
          <w:p w:rsidR="005D4348" w:rsidRDefault="00A23532">
            <w:pPr>
              <w:pStyle w:val="Compact"/>
            </w:pPr>
            <w:r>
              <w:t xml:space="preserve">Phase 1 </w:t>
            </w:r>
            <w:r>
              <w:t xml:space="preserve"> Data layer / import</w:t>
            </w:r>
          </w:p>
        </w:tc>
        <w:tc>
          <w:tcPr>
            <w:tcW w:w="828" w:type="pct"/>
          </w:tcPr>
          <w:p w:rsidR="005D4348" w:rsidRDefault="00A23532">
            <w:pPr>
              <w:pStyle w:val="Compact"/>
            </w:pPr>
            <w:r>
              <w:t>Complete</w:t>
            </w:r>
          </w:p>
        </w:tc>
        <w:tc>
          <w:tcPr>
            <w:tcW w:w="2575" w:type="pct"/>
          </w:tcPr>
          <w:p w:rsidR="005D4348" w:rsidRDefault="00A23532">
            <w:pPr>
              <w:pStyle w:val="Compact"/>
            </w:pPr>
            <w:r>
              <w:t>Fictional dataset imported: 10 members, 4 staff, 3 BOD, policies index.</w:t>
            </w:r>
          </w:p>
        </w:tc>
      </w:tr>
      <w:tr w:rsidR="005D4348" w:rsidTr="00BE0C96">
        <w:tc>
          <w:tcPr>
            <w:tcW w:w="1597" w:type="pct"/>
          </w:tcPr>
          <w:p w:rsidR="005D4348" w:rsidRDefault="00A23532">
            <w:pPr>
              <w:pStyle w:val="Compact"/>
            </w:pPr>
            <w:r>
              <w:t xml:space="preserve">Phase 2 </w:t>
            </w:r>
            <w:r>
              <w:t xml:space="preserve"> Workflow 2 build</w:t>
            </w:r>
          </w:p>
        </w:tc>
        <w:tc>
          <w:tcPr>
            <w:tcW w:w="828" w:type="pct"/>
          </w:tcPr>
          <w:p w:rsidR="005D4348" w:rsidRDefault="00A23532">
            <w:pPr>
              <w:pStyle w:val="Compact"/>
            </w:pPr>
            <w:r>
              <w:t>In progress</w:t>
            </w:r>
          </w:p>
        </w:tc>
        <w:tc>
          <w:tcPr>
            <w:tcW w:w="2575" w:type="pct"/>
          </w:tcPr>
          <w:p w:rsidR="005D4348" w:rsidRDefault="00A23532">
            <w:pPr>
              <w:pStyle w:val="Compact"/>
            </w:pPr>
            <w:r>
              <w:t>Requester-type branching (Member</w:t>
            </w:r>
            <w:r>
              <w:t>/Staff) added; Switch rules for P-02 and P-05 confirmed working; P-01, P-03, P-04, P-08 not yet implemented.</w:t>
            </w:r>
          </w:p>
        </w:tc>
      </w:tr>
    </w:tbl>
    <w:p w:rsidR="005D4348" w:rsidRDefault="00A23532">
      <w:pPr>
        <w:pStyle w:val="Heading1"/>
      </w:pPr>
      <w:bookmarkStart w:id="9" w:name="findings-log"/>
      <w:bookmarkStart w:id="10" w:name="_Toc236535302"/>
      <w:bookmarkEnd w:id="7"/>
      <w:r>
        <w:lastRenderedPageBreak/>
        <w:t>3. Findings Log</w:t>
      </w:r>
      <w:bookmarkEnd w:id="10"/>
    </w:p>
    <w:p w:rsidR="005D4348" w:rsidRDefault="00A23532">
      <w:pPr>
        <w:pStyle w:val="Heading2"/>
      </w:pPr>
      <w:bookmarkStart w:id="11" w:name="database-table-collision-phase-1"/>
      <w:bookmarkStart w:id="12" w:name="_Toc236535303"/>
      <w:r>
        <w:t>3.1. Database Table Collision (Phase 1)</w:t>
      </w:r>
      <w:bookmarkEnd w:id="12"/>
    </w:p>
    <w:p w:rsidR="005D4348" w:rsidRDefault="00A23532">
      <w:pPr>
        <w:pStyle w:val="FirstParagraph"/>
      </w:pPr>
      <w:r>
        <w:t xml:space="preserve">n8n's internal operational tables were initially written into the same </w:t>
      </w:r>
      <w:r>
        <w:t>Postgres database intended to hold only the fictional cooperative dataset, producing well over 100 unrelated internal tables alongside the intended 4. Root cause: no dedicated database was set aside for n8n's own persistence. Resolved by separating n8n's i</w:t>
      </w:r>
      <w:r>
        <w:t>nternal state (n8n_db) from the fictional dataset (cas_test) into distinct databases. Generalized as a standing build discipline: any tool with its own persistence layer gets its own database before fictional or real cooperative data is introduced to the s</w:t>
      </w:r>
      <w:r>
        <w:t>ame instance.</w:t>
      </w:r>
    </w:p>
    <w:p w:rsidR="005D4348" w:rsidRDefault="00A23532">
      <w:pPr>
        <w:pStyle w:val="Heading2"/>
      </w:pPr>
      <w:bookmarkStart w:id="13" w:name="Xadf4945e835ec5e6982c11661a8ec742991384f"/>
      <w:bookmarkStart w:id="14" w:name="_Toc236535304"/>
      <w:bookmarkEnd w:id="11"/>
      <w:r>
        <w:t>3.2. String-Matching Gaps in Switch Rules (Phase 2)</w:t>
      </w:r>
      <w:bookmarkEnd w:id="14"/>
    </w:p>
    <w:p w:rsidR="005D4348" w:rsidRDefault="00A23532">
      <w:pPr>
        <w:pStyle w:val="FirstParagraph"/>
      </w:pPr>
      <w:r>
        <w:t>Two Switch node rules initially failed to trigger against records they were designed to catch, both due to exact-string assumptions that did not hold against the actual data:</w:t>
      </w:r>
    </w:p>
    <w:p w:rsidR="005D4348" w:rsidRDefault="00A23532">
      <w:pPr>
        <w:numPr>
          <w:ilvl w:val="0"/>
          <w:numId w:val="2"/>
        </w:numPr>
      </w:pPr>
      <w:r>
        <w:t>P-02 (delinquen</w:t>
      </w:r>
      <w:r>
        <w:t xml:space="preserve">cy hard-block): the rule matched against the literal substring “past due,” but the fictional dataset records delinquent status as “Delinquent” </w:t>
      </w:r>
      <w:r>
        <w:t xml:space="preserve"> the rule silently passed a delinquent test record through to Fallback instead of blocking it.</w:t>
      </w:r>
    </w:p>
    <w:p w:rsidR="005D4348" w:rsidRDefault="00A23532">
      <w:pPr>
        <w:numPr>
          <w:ilvl w:val="0"/>
          <w:numId w:val="2"/>
        </w:numPr>
      </w:pPr>
      <w:r>
        <w:t>P-05 (restructuri</w:t>
      </w:r>
      <w:r>
        <w:t xml:space="preserve">ng escalation): the rule matched the stem “restructur,” which is correct for “restructuring” but was found not to reliably match query phrasing using “restructure” as a verb, depending on exact node expression syntax </w:t>
      </w:r>
      <w:r>
        <w:t xml:space="preserve"> flagged during testing and corrected.</w:t>
      </w:r>
    </w:p>
    <w:p w:rsidR="005D4348" w:rsidRDefault="00A23532">
      <w:pPr>
        <w:pStyle w:val="FirstParagraph"/>
      </w:pPr>
      <w:r>
        <w:t>Both are the same underlying class of error: a rule that is logically correct but silently fails against real-shaped data because of an unverified string assumption. This is precisely the “fails silently, does not crash” risk the Test Business Scope docum</w:t>
      </w:r>
      <w:r>
        <w:t xml:space="preserve">ent identifies as the reason a fictional test environment is necessary at all </w:t>
      </w:r>
      <w:r>
        <w:t xml:space="preserve"> both gaps were caught only because the golden-answer test rows were run against actual Switch output, not inferred from the rule definitions.</w:t>
      </w:r>
    </w:p>
    <w:p w:rsidR="005D4348" w:rsidRDefault="00A23532">
      <w:pPr>
        <w:pStyle w:val="BodyText"/>
      </w:pPr>
      <w:r>
        <w:rPr>
          <w:b/>
          <w:bCs/>
        </w:rPr>
        <w:t>3.3 Field-Naming Collision Risk (P</w:t>
      </w:r>
      <w:r>
        <w:rPr>
          <w:b/>
          <w:bCs/>
        </w:rPr>
        <w:t>hase 2, identified before deployment)</w:t>
      </w:r>
    </w:p>
    <w:p w:rsidR="005D4348" w:rsidRDefault="00A23532">
      <w:pPr>
        <w:pStyle w:val="BodyText"/>
      </w:pPr>
      <w:r>
        <w:t>Both the requester-lookup path (when the requester is a member) and the target-account lookup path query the same members table, and a Postgres Select node returns columns using the underlying database column names. Le</w:t>
      </w:r>
      <w:r>
        <w:t xml:space="preserve">ft unaddressed, both lookups would output an identically named member_id (and name, account_status, etc.) column, and one would silently overwrite the other when merged in the Combine Requester + Member node </w:t>
      </w:r>
      <w:r>
        <w:t xml:space="preserve"> without any error, and without an obvious symp</w:t>
      </w:r>
      <w:r>
        <w:t>tom in a quick test run.</w:t>
      </w:r>
    </w:p>
    <w:p w:rsidR="005D4348" w:rsidRDefault="00A23532">
      <w:pPr>
        <w:pStyle w:val="BodyText"/>
      </w:pPr>
      <w:r>
        <w:t xml:space="preserve">Resolution designed (not yet applied at time of writing): rename the requester-branch output fields before the merge </w:t>
      </w:r>
      <w:r>
        <w:t xml:space="preserve"> member_id → requester_id, name → requester_name, account_status → requester_account_status </w:t>
      </w:r>
      <w:r>
        <w:t xml:space="preserve"> with the equivalent</w:t>
      </w:r>
      <w:r>
        <w:t xml:space="preserve"> rename applied to the staff branch (staff_id → requester_id, access_level → requester_access_level, query_scope_allowed → requester_scope_allowed), so both branches emit a consistent field </w:t>
      </w:r>
      <w:r>
        <w:lastRenderedPageBreak/>
        <w:t>set regardless of which one fired. The target-account lookup keeps</w:t>
      </w:r>
      <w:r>
        <w:t xml:space="preserve"> its member_ prefix unchanged.</w:t>
      </w:r>
    </w:p>
    <w:p w:rsidR="005D4348" w:rsidRDefault="00A23532">
      <w:pPr>
        <w:pStyle w:val="Heading2"/>
      </w:pPr>
      <w:bookmarkStart w:id="15" w:name="p-04-cross-member-access-rule-design"/>
      <w:bookmarkStart w:id="16" w:name="_Toc236535305"/>
      <w:bookmarkEnd w:id="13"/>
      <w:r>
        <w:t>3.4. P-04 (Cross-Member Access) Rule Design</w:t>
      </w:r>
      <w:bookmarkEnd w:id="16"/>
    </w:p>
    <w:p w:rsidR="005D4348" w:rsidRDefault="00A23532">
      <w:pPr>
        <w:pStyle w:val="FirstParagraph"/>
      </w:pPr>
      <w:r>
        <w:t>Designed, not yet applied. A new Switch rule, ordered before Fallback, using the renamed fields from §3.3:</w:t>
      </w:r>
    </w:p>
    <w:p w:rsidR="005D4348" w:rsidRDefault="00A23532">
      <w:pPr>
        <w:pStyle w:val="BodyText"/>
      </w:pPr>
      <w:r>
        <w:t>{{ $json.requester_role === "member" &amp;&amp; $json.requester_id !== $json.membe</w:t>
      </w:r>
      <w:r>
        <w:t>r_id }} → hard_block</w:t>
      </w:r>
    </w:p>
    <w:p w:rsidR="005D4348" w:rsidRDefault="00A23532">
      <w:pPr>
        <w:pStyle w:val="BodyText"/>
      </w:pPr>
      <w:r>
        <w:t xml:space="preserve">This fires only when the requester is a member and the account being queried is not their own </w:t>
      </w:r>
      <w:r>
        <w:t xml:space="preserve"> matching the M-006 test case (“Tests access-control refusal: another member asks about this account”). It deliberately does not fire for st</w:t>
      </w:r>
      <w:r>
        <w:t xml:space="preserve">aff requesters, since staff legitimately query other members' accounts within their assigned scope </w:t>
      </w:r>
      <w:r>
        <w:t xml:space="preserve"> that boundary is P-08's concern, not P-04's.</w:t>
      </w:r>
    </w:p>
    <w:p w:rsidR="005D4348" w:rsidRDefault="00A23532">
      <w:pPr>
        <w:pStyle w:val="Heading1"/>
      </w:pPr>
      <w:bookmarkStart w:id="17" w:name="open-items-carried-into-the-build"/>
      <w:bookmarkStart w:id="18" w:name="_Toc236535306"/>
      <w:bookmarkEnd w:id="9"/>
      <w:bookmarkEnd w:id="15"/>
      <w:r>
        <w:t>4. Open Items Carried Into the Build</w:t>
      </w:r>
      <w:bookmarkEnd w:id="18"/>
    </w:p>
    <w:p w:rsidR="005D4348" w:rsidRDefault="00A23532">
      <w:pPr>
        <w:numPr>
          <w:ilvl w:val="0"/>
          <w:numId w:val="3"/>
        </w:numPr>
      </w:pPr>
      <w:r>
        <w:t>Apply the §3.3 field renames and the §3.4 P-04 rule in the live n8n workf</w:t>
      </w:r>
      <w:r>
        <w:t>low (designed but not yet applied as of this document).</w:t>
      </w:r>
    </w:p>
    <w:p w:rsidR="005D4348" w:rsidRDefault="00A23532">
      <w:pPr>
        <w:numPr>
          <w:ilvl w:val="0"/>
          <w:numId w:val="3"/>
        </w:numPr>
      </w:pPr>
      <w:r>
        <w:t>Add a golden-case test row: a member querying their own account, to confirm the P-04 rule does not false-positive on legitimate self-service.</w:t>
      </w:r>
    </w:p>
    <w:p w:rsidR="005D4348" w:rsidRDefault="00A23532">
      <w:pPr>
        <w:numPr>
          <w:ilvl w:val="0"/>
          <w:numId w:val="3"/>
        </w:numPr>
      </w:pPr>
      <w:r>
        <w:t>P-01 (loan eligibility threshold) and P-03 (minimum tenure</w:t>
      </w:r>
      <w:r>
        <w:t>) rules not yet designed or implemented.</w:t>
      </w:r>
    </w:p>
    <w:p w:rsidR="005D4348" w:rsidRDefault="00A23532">
      <w:pPr>
        <w:numPr>
          <w:ilvl w:val="0"/>
          <w:numId w:val="3"/>
        </w:numPr>
      </w:pPr>
      <w:r>
        <w:t xml:space="preserve">P-08 (role-based query boundaries) cannot be fully validated against the current schema </w:t>
      </w:r>
      <w:r>
        <w:t xml:space="preserve"> the Staff sheet has no assigned_members column, so a Frontline-staff “own assigned members only” check cannot yet be structur</w:t>
      </w:r>
      <w:r>
        <w:t>ally enforced. Open decision: add an assigned_members column, or scope P-08 to tier-level checks (Frontline vs. Senior) only for this test round, with the gap explicitly flagged rather than silently skipped.</w:t>
      </w:r>
    </w:p>
    <w:p w:rsidR="005D4348" w:rsidRDefault="00A23532">
      <w:pPr>
        <w:pStyle w:val="FirstParagraph"/>
      </w:pPr>
      <w:r>
        <w:rPr>
          <w:i/>
          <w:iCs/>
        </w:rPr>
        <w:t xml:space="preserve">Cooperative AI </w:t>
      </w:r>
      <w:r w:rsidR="00BE0C96">
        <w:rPr>
          <w:i/>
          <w:iCs/>
        </w:rPr>
        <w:t>System n8n</w:t>
      </w:r>
      <w:r>
        <w:rPr>
          <w:i/>
          <w:iCs/>
        </w:rPr>
        <w:t xml:space="preserve"> Mini-Test Implementa</w:t>
      </w:r>
      <w:r>
        <w:rPr>
          <w:i/>
          <w:iCs/>
        </w:rPr>
        <w:t>tion Findings v1.0 | SAMCO | July 2026</w:t>
      </w:r>
      <w:bookmarkEnd w:id="17"/>
    </w:p>
    <w:sectPr w:rsidR="005D4348">
      <w:pgSz w:w="12240" w:h="15840"/>
      <w:pgMar w:top="1440" w:right="1440" w:bottom="144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A23532" w:rsidRDefault="00A23532">
      <w:pPr>
        <w:spacing w:after="0"/>
      </w:pPr>
      <w:r>
        <w:separator/>
      </w:r>
    </w:p>
  </w:endnote>
  <w:endnote w:type="continuationSeparator" w:id="0">
    <w:p w:rsidR="00A23532" w:rsidRDefault="00A23532">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mbria">
    <w:panose1 w:val="02040503050406030204"/>
    <w:charset w:val="00"/>
    <w:family w:val="roman"/>
    <w:pitch w:val="variable"/>
    <w:sig w:usb0="E00006FF" w:usb1="420024FF" w:usb2="02000000" w:usb3="00000000" w:csb0="000001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nsolas">
    <w:panose1 w:val="020B0609020204030204"/>
    <w:charset w:val="00"/>
    <w:family w:val="roman"/>
    <w:notTrueType/>
    <w:pitch w:val="default"/>
  </w:font>
</w:fonts>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A23532" w:rsidRDefault="00A23532">
      <w:r>
        <w:separator/>
      </w:r>
    </w:p>
  </w:footnote>
  <w:footnote w:type="continuationSeparator" w:id="0">
    <w:p w:rsidR="00A23532" w:rsidRDefault="00A23532">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00A990"/>
    <w:multiLevelType w:val="multilevel"/>
    <w:tmpl w:val="8696B29E"/>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1" w15:restartNumberingAfterBreak="0">
    <w:nsid w:val="0000A991"/>
    <w:multiLevelType w:val="multilevel"/>
    <w:tmpl w:val="04C41A96"/>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
    <w:abstractNumId w:val="0"/>
  </w:num>
  <w:num w:numId="2">
    <w:abstractNumId w:val="1"/>
  </w:num>
  <w:num w:numId="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30"/>
  <w:embedSystemFonts/>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efaultTabStop w:val="720"/>
  <w:drawingGridHorizontalSpacing w:val="360"/>
  <w:drawingGridVerticalSpacing w:val="360"/>
  <w:displayHorizontalDrawingGridEvery w:val="0"/>
  <w:displayVerticalDrawingGridEvery w:val="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D4348"/>
    <w:rsid w:val="005D4348"/>
    <w:rsid w:val="00A23532"/>
    <w:rsid w:val="00BE0C96"/>
    <w:rsid w:val="00ED6396"/>
  </w:rsids>
  <m:mathPr>
    <m:mathFont m:val="Cambria Math"/>
    <m:brkBin m:val="before"/>
    <m:brkBinSub m:val="--"/>
    <m:smallFrac m:val="0"/>
    <m:dispDef/>
    <m:lMargin m:val="0"/>
    <m:rMargin m:val="0"/>
    <m:defJc m:val="centerGroup"/>
    <m:wrapRight/>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7010B5A"/>
  <w15:docId w15:val="{38FA371B-6DAA-43E1-B10F-B8E36EC948C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1">
    <w:lsdException w:name="index 1"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3" w:semiHidden="1" w:unhideWhenUsed="1"/>
    <w:lsdException w:name="List Number 4"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Hyperlink" w:uiPriority="99"/>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BodyText"/>
    <w:uiPriority w:val="9"/>
    <w:qFormat/>
    <w:pPr>
      <w:keepNext/>
      <w:keepLines/>
      <w:spacing w:before="480" w:after="0"/>
      <w:outlineLvl w:val="0"/>
    </w:pPr>
    <w:rPr>
      <w:rFonts w:asciiTheme="majorHAnsi" w:eastAsiaTheme="majorEastAsia" w:hAnsiTheme="majorHAnsi" w:cstheme="majorBidi"/>
      <w:b/>
      <w:bCs/>
      <w:color w:val="4F81BD" w:themeColor="accent1"/>
      <w:sz w:val="32"/>
      <w:szCs w:val="32"/>
    </w:rPr>
  </w:style>
  <w:style w:type="paragraph" w:styleId="Heading2">
    <w:name w:val="heading 2"/>
    <w:basedOn w:val="Normal"/>
    <w:next w:val="BodyText"/>
    <w:uiPriority w:val="9"/>
    <w:unhideWhenUsed/>
    <w:qFormat/>
    <w:pPr>
      <w:keepNext/>
      <w:keepLines/>
      <w:spacing w:before="200" w:after="0"/>
      <w:outlineLvl w:val="1"/>
    </w:pPr>
    <w:rPr>
      <w:rFonts w:asciiTheme="majorHAnsi" w:eastAsiaTheme="majorEastAsia" w:hAnsiTheme="majorHAnsi" w:cstheme="majorBidi"/>
      <w:b/>
      <w:bCs/>
      <w:color w:val="4F81BD" w:themeColor="accent1"/>
      <w:sz w:val="28"/>
      <w:szCs w:val="28"/>
    </w:rPr>
  </w:style>
  <w:style w:type="paragraph" w:styleId="Heading3">
    <w:name w:val="heading 3"/>
    <w:basedOn w:val="Normal"/>
    <w:next w:val="BodyText"/>
    <w:uiPriority w:val="9"/>
    <w:unhideWhenUsed/>
    <w:qFormat/>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BodyText"/>
    <w:uiPriority w:val="9"/>
    <w:unhideWhenUsed/>
    <w:qFormat/>
    <w:pPr>
      <w:keepNext/>
      <w:keepLines/>
      <w:spacing w:before="200" w:after="0"/>
      <w:outlineLvl w:val="3"/>
    </w:pPr>
    <w:rPr>
      <w:rFonts w:asciiTheme="majorHAnsi" w:eastAsiaTheme="majorEastAsia" w:hAnsiTheme="majorHAnsi" w:cstheme="majorBidi"/>
      <w:bCs/>
      <w:i/>
      <w:color w:val="4F81BD" w:themeColor="accent1"/>
    </w:rPr>
  </w:style>
  <w:style w:type="paragraph" w:styleId="Heading5">
    <w:name w:val="heading 5"/>
    <w:basedOn w:val="Normal"/>
    <w:next w:val="BodyText"/>
    <w:uiPriority w:val="9"/>
    <w:unhideWhenUsed/>
    <w:qFormat/>
    <w:pPr>
      <w:keepNext/>
      <w:keepLines/>
      <w:spacing w:before="200" w:after="0"/>
      <w:outlineLvl w:val="4"/>
    </w:pPr>
    <w:rPr>
      <w:rFonts w:asciiTheme="majorHAnsi" w:eastAsiaTheme="majorEastAsia" w:hAnsiTheme="majorHAnsi" w:cstheme="majorBidi"/>
      <w:iCs/>
      <w:color w:val="4F81BD" w:themeColor="accent1"/>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color w:val="4F81BD" w:themeColor="accent1"/>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color w:val="4F81BD" w:themeColor="accent1"/>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color w:val="4F81BD" w:themeColor="accent1"/>
    </w:rPr>
  </w:style>
  <w:style w:type="paragraph" w:styleId="Heading9">
    <w:name w:val="heading 9"/>
    <w:basedOn w:val="Normal"/>
    <w:next w:val="BodyText"/>
    <w:uiPriority w:val="9"/>
    <w:unhideWhenUsed/>
    <w:qFormat/>
    <w:pPr>
      <w:keepNext/>
      <w:keepLines/>
      <w:spacing w:before="200" w:after="0"/>
      <w:outlineLvl w:val="8"/>
    </w:pPr>
    <w:rPr>
      <w:rFonts w:asciiTheme="majorHAnsi" w:eastAsiaTheme="majorEastAsia" w:hAnsiTheme="majorHAnsi" w:cstheme="majorBidi"/>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Subtitle">
    <w:name w:val="Subtitle"/>
    <w:basedOn w:val="Title"/>
    <w:next w:val="BodyText"/>
    <w:qFormat/>
    <w:pPr>
      <w:spacing w:before="240"/>
    </w:pPr>
    <w:rPr>
      <w:sz w:val="30"/>
      <w:szCs w:val="30"/>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Title">
    <w:name w:val="Abstract Title"/>
    <w:basedOn w:val="Normal"/>
    <w:next w:val="Abstract"/>
    <w:qFormat/>
    <w:pPr>
      <w:keepNext/>
      <w:keepLines/>
      <w:spacing w:before="300" w:after="0"/>
      <w:jc w:val="center"/>
    </w:pPr>
    <w:rPr>
      <w:b/>
      <w:color w:val="345A8A"/>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uiPriority w:val="99"/>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b w:val="0"/>
      <w:bCs w:val="0"/>
      <w:color w:val="365F91" w:themeColor="accent1" w:themeShade="BF"/>
    </w:r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 w:type="paragraph" w:styleId="TOC1">
    <w:name w:val="toc 1"/>
    <w:basedOn w:val="Normal"/>
    <w:next w:val="Normal"/>
    <w:autoRedefine/>
    <w:uiPriority w:val="39"/>
    <w:unhideWhenUsed/>
    <w:rsid w:val="00BE0C96"/>
    <w:pPr>
      <w:spacing w:after="100"/>
    </w:pPr>
  </w:style>
  <w:style w:type="paragraph" w:styleId="TOC2">
    <w:name w:val="toc 2"/>
    <w:basedOn w:val="Normal"/>
    <w:next w:val="Normal"/>
    <w:autoRedefine/>
    <w:uiPriority w:val="39"/>
    <w:unhideWhenUsed/>
    <w:rsid w:val="00BE0C96"/>
    <w:pPr>
      <w:spacing w:after="100"/>
      <w:ind w:left="2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4</Pages>
  <Words>980</Words>
  <Characters>5588</Characters>
  <Application>Microsoft Office Word</Application>
  <DocSecurity>0</DocSecurity>
  <Lines>46</Lines>
  <Paragraphs>13</Paragraphs>
  <ScaleCrop>false</ScaleCrop>
  <Company/>
  <LinksUpToDate>false</LinksUpToDate>
  <CharactersWithSpaces>6555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Windows User</dc:creator>
  <cp:keywords/>
  <cp:lastModifiedBy>Windows User</cp:lastModifiedBy>
  <cp:revision>2</cp:revision>
  <dcterms:created xsi:type="dcterms:W3CDTF">2026-08-01T19:57:00Z</dcterms:created>
  <dcterms:modified xsi:type="dcterms:W3CDTF">2026-08-01T19:57:00Z</dcterms:modified>
</cp:coreProperties>
</file>