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20"/>
        <w:jc w:val="center"/>
        <w:rPr/>
      </w:pPr>
      <w:r>
        <w:rPr>
          <w:rFonts w:eastAsia="Arial" w:cs="Arial"/>
          <w:b/>
          <w:bCs/>
          <w:color w:val="7B1010"/>
          <w:sz w:val="52"/>
          <w:szCs w:val="52"/>
        </w:rPr>
        <w:t>Variables of Prompting</w:t>
      </w:r>
    </w:p>
    <w:p>
      <w:pPr>
        <w:pStyle w:val="Normal"/>
        <w:spacing w:before="0" w:after="160"/>
        <w:jc w:val="center"/>
        <w:rPr/>
      </w:pPr>
      <w:r>
        <w:rPr>
          <w:rFonts w:eastAsia="Arial" w:cs="Arial"/>
          <w:b/>
          <w:bCs/>
          <w:color w:val="C0392B"/>
          <w:sz w:val="80"/>
          <w:szCs w:val="80"/>
        </w:rPr>
        <w:t>VoP</w:t>
      </w:r>
    </w:p>
    <w:p>
      <w:pPr>
        <w:pStyle w:val="Normal"/>
        <w:spacing w:before="0" w:after="80"/>
        <w:jc w:val="center"/>
        <w:rPr/>
      </w:pPr>
      <w:r>
        <w:rPr>
          <w:rFonts w:eastAsia="Arial" w:cs="Arial"/>
          <w:b/>
          <w:bCs/>
          <w:color w:val="7B1010"/>
          <w:sz w:val="32"/>
          <w:szCs w:val="32"/>
        </w:rPr>
        <w:t>Risk &amp; Responsible Use Report</w:t>
      </w:r>
    </w:p>
    <w:p>
      <w:pPr>
        <w:pStyle w:val="Normal"/>
        <w:spacing w:before="0" w:after="600"/>
        <w:jc w:val="center"/>
        <w:rPr/>
      </w:pPr>
      <w:r>
        <w:rPr>
          <w:rFonts w:eastAsia="Arial" w:cs="Arial"/>
          <w:i/>
          <w:iCs/>
          <w:color w:val="555555"/>
          <w:sz w:val="24"/>
          <w:szCs w:val="24"/>
        </w:rPr>
        <w:t>Identifying, Understanding, and Mitigating the Risks of Structured Prompting Frameworks</w:t>
      </w:r>
    </w:p>
    <w:tbl>
      <w:tblPr>
        <w:tblW w:w="5400" w:type="dxa"/>
        <w:jc w:val="start"/>
        <w:tblInd w:w="0" w:type="dxa"/>
        <w:tblLayout w:type="fixed"/>
        <w:tblCellMar>
          <w:top w:w="200" w:type="dxa"/>
          <w:start w:w="360" w:type="dxa"/>
          <w:bottom w:w="200" w:type="dxa"/>
          <w:end w:w="360" w:type="dxa"/>
        </w:tblCellMar>
      </w:tblPr>
      <w:tblGrid>
        <w:gridCol w:w="5400"/>
      </w:tblGrid>
      <w:tr>
        <w:trPr/>
        <w:tc>
          <w:tcPr>
            <w:tcW w:w="5400" w:type="dxa"/>
            <w:tcBorders>
              <w:top w:val="single" w:sz="2" w:space="0" w:color="CCCCCC"/>
              <w:start w:val="single" w:sz="2" w:space="0" w:color="CCCCCC"/>
              <w:bottom w:val="single" w:sz="2" w:space="0" w:color="CCCCCC"/>
              <w:end w:val="single" w:sz="2" w:space="0" w:color="CCCCCC"/>
            </w:tcBorders>
            <w:shd w:fill="FADBD8" w:val="clear"/>
          </w:tcPr>
          <w:p>
            <w:pPr>
              <w:pStyle w:val="Normal"/>
              <w:spacing w:before="0" w:after="80"/>
              <w:jc w:val="center"/>
              <w:rPr/>
            </w:pPr>
            <w:r>
              <w:rPr>
                <w:rFonts w:eastAsia="Arial" w:cs="Arial"/>
                <w:b/>
                <w:bCs/>
                <w:color w:val="7B1010"/>
                <w:sz w:val="20"/>
                <w:szCs w:val="20"/>
              </w:rPr>
              <w:t>Classification: Risk &amp; Governance Document</w:t>
            </w:r>
          </w:p>
          <w:p>
            <w:pPr>
              <w:pStyle w:val="Normal"/>
              <w:spacing w:before="0" w:after="80"/>
              <w:jc w:val="center"/>
              <w:rPr/>
            </w:pPr>
            <w:r>
              <w:rPr>
                <w:rFonts w:eastAsia="Arial" w:cs="Arial"/>
                <w:color w:val="1A1A1A"/>
                <w:sz w:val="20"/>
                <w:szCs w:val="20"/>
              </w:rPr>
              <w:t>Version: 1.0  |  Status: Active</w:t>
            </w:r>
          </w:p>
          <w:p>
            <w:pPr>
              <w:pStyle w:val="Normal"/>
              <w:spacing w:before="0" w:after="80"/>
              <w:jc w:val="center"/>
              <w:rPr/>
            </w:pPr>
            <w:r>
              <w:rPr>
                <w:rFonts w:eastAsia="Arial" w:cs="Arial"/>
                <w:color w:val="1A1A1A"/>
                <w:sz w:val="20"/>
                <w:szCs w:val="20"/>
              </w:rPr>
              <w:t>Companion to: Variables of Prompting Formal Framework</w:t>
            </w:r>
          </w:p>
          <w:p>
            <w:pPr>
              <w:pStyle w:val="Normal"/>
              <w:spacing w:before="0" w:after="0"/>
              <w:jc w:val="center"/>
              <w:rPr/>
            </w:pPr>
            <w:r>
              <w:rPr>
                <w:rFonts w:eastAsia="Arial" w:cs="Arial"/>
                <w:color w:val="1A1A1A"/>
                <w:sz w:val="20"/>
                <w:szCs w:val="20"/>
              </w:rPr>
              <w:t>Date: 2025</w:t>
            </w:r>
          </w:p>
        </w:tc>
      </w:tr>
    </w:tbl>
    <w:p>
      <w:pPr>
        <w:pStyle w:val="Normal"/>
        <w:spacing w:before="0" w:after="300"/>
        <w:rPr/>
      </w:pPr>
      <w:r>
        <w:rPr/>
      </w:r>
    </w:p>
    <w:p>
      <w:pPr>
        <w:pStyle w:val="Normal"/>
        <w:jc w:val="center"/>
        <w:rPr/>
      </w:pPr>
      <w:r>
        <w:rPr>
          <w:rFonts w:eastAsia="Arial" w:cs="Arial"/>
          <w:i/>
          <w:iCs/>
          <w:color w:val="666666"/>
          <w:sz w:val="20"/>
          <w:szCs w:val="20"/>
        </w:rPr>
        <w:t>Prepared by: Senior AI Systems Architecture &amp; Governance Team</w:t>
      </w:r>
    </w:p>
    <w:p>
      <w:pPr>
        <w:pStyle w:val="Normal"/>
        <w:rPr/>
      </w:pPr>
      <w:r>
        <w:rPr/>
      </w:r>
      <w:r>
        <w:br w:type="page"/>
      </w:r>
    </w:p>
    <w:p>
      <w:pPr>
        <w:pStyle w:val="Heading1"/>
        <w:shd w:val="clear" w:fill="7B1010"/>
        <w:spacing w:before="0" w:after="160"/>
        <w:ind w:start="180"/>
        <w:rPr/>
      </w:pPr>
      <w:r>
        <w:rPr>
          <w:rFonts w:eastAsia="Arial" w:cs="Arial"/>
          <w:b/>
          <w:bCs/>
          <w:color w:val="FFFFFF"/>
          <w:sz w:val="28"/>
          <w:szCs w:val="28"/>
        </w:rPr>
        <w:t>1.  The Toothpick Analogy Origin of This Risk Report</w:t>
      </w:r>
    </w:p>
    <w:p>
      <w:pPr>
        <w:pStyle w:val="Normal"/>
        <w:spacing w:before="0" w:after="80"/>
        <w:rPr/>
      </w:pPr>
      <w:r>
        <w:rPr/>
      </w:r>
    </w:p>
    <w:p>
      <w:pPr>
        <w:pStyle w:val="Normal"/>
        <w:spacing w:before="0" w:after="100"/>
        <w:rPr/>
      </w:pPr>
      <w:r>
        <w:rPr>
          <w:rFonts w:eastAsia="Arial" w:cs="Arial"/>
          <w:color w:val="1A1A1A"/>
          <w:sz w:val="22"/>
          <w:szCs w:val="22"/>
        </w:rPr>
        <w:t>The following analogy was identified by the VoP framework author as a formal risk observation. It is recorded here as the founding rationale for this document.</w:t>
      </w:r>
    </w:p>
    <w:p>
      <w:pPr>
        <w:pStyle w:val="Normal"/>
        <w:spacing w:before="0" w:after="100"/>
        <w:rPr/>
      </w:pPr>
      <w:r>
        <w:rPr/>
      </w:r>
    </w:p>
    <w:tbl>
      <w:tblPr>
        <w:tblW w:w="9360" w:type="dxa"/>
        <w:jc w:val="start"/>
        <w:tblInd w:w="0" w:type="dxa"/>
        <w:tblLayout w:type="fixed"/>
        <w:tblCellMar>
          <w:top w:w="80" w:type="dxa"/>
          <w:start w:w="180" w:type="dxa"/>
          <w:bottom w:w="80" w:type="dxa"/>
          <w:end w:w="0" w:type="dxa"/>
        </w:tblCellMar>
      </w:tblPr>
      <w:tblGrid>
        <w:gridCol w:w="360"/>
        <w:gridCol w:w="9000"/>
      </w:tblGrid>
      <w:tr>
        <w:trPr/>
        <w:tc>
          <w:tcPr>
            <w:tcW w:w="360" w:type="dxa"/>
            <w:tcBorders>
              <w:start w:val="single" w:sz="24" w:space="0" w:color="C0392B"/>
            </w:tcBorders>
            <w:shd w:fill="FFFFFF" w:val="clear"/>
          </w:tcPr>
          <w:p>
            <w:pPr>
              <w:pStyle w:val="Normal"/>
              <w:rPr/>
            </w:pPr>
            <w:r>
              <w:rPr/>
            </w:r>
          </w:p>
        </w:tc>
        <w:tc>
          <w:tcPr>
            <w:tcW w:w="9000" w:type="dxa"/>
            <w:tcBorders/>
            <w:shd w:fill="FFFFFF" w:val="clear"/>
            <w:tcMar>
              <w:top w:w="100" w:type="dxa"/>
              <w:start w:w="240" w:type="dxa"/>
              <w:bottom w:w="100" w:type="dxa"/>
              <w:end w:w="120" w:type="dxa"/>
            </w:tcMar>
          </w:tcPr>
          <w:p>
            <w:pPr>
              <w:pStyle w:val="Normal"/>
              <w:spacing w:before="0" w:after="80"/>
              <w:rPr/>
            </w:pPr>
            <w:r>
              <w:rPr>
                <w:rFonts w:eastAsia="Arial" w:cs="Arial"/>
                <w:b/>
                <w:bCs/>
                <w:i/>
                <w:iCs/>
                <w:color w:val="7B1010"/>
                <w:sz w:val="24"/>
                <w:szCs w:val="24"/>
              </w:rPr>
              <w:t>“</w:t>
            </w:r>
            <w:r>
              <w:rPr>
                <w:rFonts w:eastAsia="Arial" w:cs="Arial"/>
                <w:b/>
                <w:bCs/>
                <w:i/>
                <w:iCs/>
                <w:color w:val="7B1010"/>
                <w:sz w:val="24"/>
                <w:szCs w:val="24"/>
              </w:rPr>
              <w:t>VoP is like the discovery of a toothpick.</w:t>
            </w:r>
          </w:p>
          <w:p>
            <w:pPr>
              <w:pStyle w:val="Normal"/>
              <w:spacing w:before="0" w:after="80"/>
              <w:rPr/>
            </w:pPr>
            <w:r>
              <w:rPr>
                <w:rFonts w:eastAsia="Arial" w:cs="Arial"/>
                <w:i/>
                <w:iCs/>
                <w:color w:val="7B1010"/>
                <w:sz w:val="24"/>
                <w:szCs w:val="24"/>
              </w:rPr>
              <w:t>It has universal application.</w:t>
            </w:r>
          </w:p>
          <w:p>
            <w:pPr>
              <w:pStyle w:val="Normal"/>
              <w:bidi w:val="0"/>
              <w:spacing w:before="0" w:after="80"/>
              <w:rPr/>
            </w:pPr>
            <w:r>
              <w:rPr>
                <w:rFonts w:eastAsia="Arial" w:cs="Arial"/>
                <w:i/>
                <w:iCs/>
                <w:color w:val="7B1010"/>
                <w:sz w:val="24"/>
                <w:szCs w:val="24"/>
              </w:rPr>
              <w:t>But it can also be used to poke someone’s eyes.</w:t>
            </w:r>
          </w:p>
          <w:p>
            <w:pPr>
              <w:pStyle w:val="Normal"/>
              <w:spacing w:before="0" w:after="80"/>
              <w:rPr/>
            </w:pPr>
            <w:r>
              <w:rPr>
                <w:rFonts w:eastAsia="Arial" w:cs="Arial"/>
                <w:i/>
                <w:iCs/>
                <w:color w:val="7B1010"/>
                <w:sz w:val="24"/>
                <w:szCs w:val="24"/>
              </w:rPr>
              <w:t>And if used irresponsibly, it may bleed the gums.</w:t>
            </w:r>
          </w:p>
          <w:p>
            <w:pPr>
              <w:pStyle w:val="Normal"/>
              <w:spacing w:before="0" w:after="0"/>
              <w:rPr/>
            </w:pPr>
            <w:r>
              <w:rPr>
                <w:rFonts w:eastAsia="Arial" w:cs="Arial"/>
                <w:b/>
                <w:bCs/>
                <w:i/>
                <w:iCs/>
                <w:color w:val="7B1010"/>
                <w:sz w:val="24"/>
                <w:szCs w:val="24"/>
              </w:rPr>
              <w:t>So always document VoP.”</w:t>
            </w:r>
          </w:p>
        </w:tc>
      </w:tr>
    </w:tbl>
    <w:p>
      <w:pPr>
        <w:pStyle w:val="Normal"/>
        <w:spacing w:before="0" w:after="120"/>
        <w:rPr/>
      </w:pPr>
      <w:r>
        <w:rPr/>
      </w:r>
    </w:p>
    <w:p>
      <w:pPr>
        <w:pStyle w:val="Normal"/>
        <w:spacing w:before="0" w:after="100"/>
        <w:rPr/>
      </w:pPr>
      <w:r>
        <w:rPr>
          <w:rFonts w:eastAsia="Arial" w:cs="Arial"/>
          <w:color w:val="1A1A1A"/>
          <w:sz w:val="22"/>
          <w:szCs w:val="22"/>
        </w:rPr>
        <w:t>This analogy captures three fundamental truths about VoP that every practitioner, implementer, and governance officer must internalize before deploying the framework.</w:t>
      </w:r>
    </w:p>
    <w:p>
      <w:pPr>
        <w:pStyle w:val="Normal"/>
        <w:spacing w:before="0" w:after="120"/>
        <w:rPr/>
      </w:pPr>
      <w:r>
        <w:rPr/>
      </w:r>
    </w:p>
    <w:p>
      <w:pPr>
        <w:pStyle w:val="Heading1"/>
        <w:shd w:val="clear" w:fill="7B1010"/>
        <w:spacing w:before="360" w:after="160"/>
        <w:ind w:start="180"/>
        <w:rPr/>
      </w:pPr>
      <w:r>
        <w:rPr>
          <w:rFonts w:eastAsia="Arial" w:cs="Arial"/>
          <w:b/>
          <w:bCs/>
          <w:color w:val="FFFFFF"/>
          <w:sz w:val="28"/>
          <w:szCs w:val="28"/>
        </w:rPr>
        <w:t>2.  The Three Risk Dimensions Analogy Decoded</w:t>
      </w:r>
    </w:p>
    <w:p>
      <w:pPr>
        <w:pStyle w:val="Normal"/>
        <w:spacing w:before="0" w:after="80"/>
        <w:rPr/>
      </w:pPr>
      <w:r>
        <w:rPr/>
      </w:r>
    </w:p>
    <w:p>
      <w:pPr>
        <w:pStyle w:val="Heading2"/>
        <w:pBdr>
          <w:bottom w:val="single" w:sz="6" w:space="1" w:color="C0392B"/>
        </w:pBdr>
        <w:spacing w:before="280" w:after="120"/>
        <w:rPr/>
      </w:pPr>
      <w:r>
        <w:rPr>
          <w:rFonts w:eastAsia="Arial" w:cs="Arial"/>
          <w:b/>
          <w:bCs/>
          <w:color w:val="7B1010"/>
          <w:sz w:val="24"/>
          <w:szCs w:val="24"/>
        </w:rPr>
        <w:t>2.1  Universal Application The Promise</w:t>
      </w:r>
    </w:p>
    <w:p>
      <w:pPr>
        <w:pStyle w:val="Normal"/>
        <w:spacing w:before="0" w:after="40"/>
        <w:rPr/>
      </w:pPr>
      <w:r>
        <w:rPr/>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CCCCCC"/>
              <w:start w:val="single" w:sz="2" w:space="0" w:color="CCCCCC"/>
              <w:bottom w:val="single" w:sz="2" w:space="0" w:color="CCCCCC"/>
              <w:end w:val="single" w:sz="2" w:space="0" w:color="CCCCCC"/>
            </w:tcBorders>
            <w:shd w:fill="2E75B6" w:val="clear"/>
            <w:vAlign w:val="center"/>
          </w:tcPr>
          <w:p>
            <w:pPr>
              <w:pStyle w:val="Normal"/>
              <w:jc w:val="center"/>
              <w:rPr/>
            </w:pPr>
            <w:r>
              <w:rPr>
                <w:rFonts w:eastAsia="Arial" w:cs="Arial"/>
                <w:b/>
                <w:bCs/>
                <w:color w:val="FFFFFF"/>
                <w:sz w:val="18"/>
                <w:szCs w:val="18"/>
              </w:rPr>
              <w:t>PROMISE</w:t>
            </w:r>
          </w:p>
        </w:tc>
        <w:tc>
          <w:tcPr>
            <w:tcW w:w="8161" w:type="dxa"/>
            <w:tcBorders>
              <w:top w:val="single" w:sz="2" w:space="0" w:color="CCCCCC"/>
              <w:start w:val="single" w:sz="2" w:space="0" w:color="CCCCCC"/>
              <w:bottom w:val="single" w:sz="2" w:space="0" w:color="CCCCCC"/>
              <w:end w:val="single" w:sz="2" w:space="0" w:color="CCCCCC"/>
            </w:tcBorders>
            <w:shd w:fill="D6E4F0" w:val="clear"/>
            <w:tcMar>
              <w:start w:w="180" w:type="dxa"/>
            </w:tcMar>
          </w:tcPr>
          <w:p>
            <w:pPr>
              <w:pStyle w:val="Normal"/>
              <w:rPr/>
            </w:pPr>
            <w:r>
              <w:rPr>
                <w:rFonts w:eastAsia="Arial" w:cs="Arial"/>
                <w:i/>
                <w:iCs/>
                <w:color w:val="1A1A1A"/>
                <w:sz w:val="21"/>
                <w:szCs w:val="21"/>
              </w:rPr>
              <w:t>A toothpick is one of the most universally useful tools ever created. Simple, accessible, scalable, and adaptable across countless contexts. VoP carries the same promise.</w:t>
            </w:r>
          </w:p>
        </w:tc>
      </w:tr>
    </w:tbl>
    <w:p>
      <w:pPr>
        <w:pStyle w:val="Normal"/>
        <w:spacing w:before="0" w:after="100"/>
        <w:rPr/>
      </w:pPr>
      <w:r>
        <w:rPr/>
      </w:r>
    </w:p>
    <w:p>
      <w:pPr>
        <w:pStyle w:val="Normal"/>
        <w:spacing w:before="0" w:after="100"/>
        <w:rPr/>
      </w:pPr>
      <w:r>
        <w:rPr>
          <w:rFonts w:eastAsia="Arial" w:cs="Arial"/>
          <w:color w:val="1A1A1A"/>
          <w:sz w:val="22"/>
          <w:szCs w:val="22"/>
        </w:rPr>
        <w:t>VoP is designed to work across virtually any domain where humans interact with AI systems. It is structurally simple, modular, and applicable whether the use case is a cooperative financial system, a medical workflow, a legal research tool, a software engineering pipeline, or an educational environment.</w:t>
      </w:r>
    </w:p>
    <w:p>
      <w:pPr>
        <w:pStyle w:val="Normal"/>
        <w:spacing w:before="0" w:after="80"/>
        <w:rPr/>
      </w:pPr>
      <w:r>
        <w:rPr/>
      </w:r>
    </w:p>
    <w:p>
      <w:pPr>
        <w:pStyle w:val="Normal"/>
        <w:spacing w:before="0" w:after="100"/>
        <w:rPr/>
      </w:pPr>
      <w:r>
        <w:rPr>
          <w:rFonts w:eastAsia="Arial" w:cs="Arial"/>
          <w:color w:val="1A1A1A"/>
          <w:sz w:val="22"/>
          <w:szCs w:val="22"/>
        </w:rPr>
        <w:t>This universality is a genuine strength. But universality also means the framework will inevitably reach contexts its authors did not anticipate including harmful ones.</w:t>
      </w:r>
    </w:p>
    <w:p>
      <w:pPr>
        <w:pStyle w:val="Normal"/>
        <w:spacing w:before="0" w:after="120"/>
        <w:rPr/>
      </w:pPr>
      <w:r>
        <w:rPr/>
      </w:r>
    </w:p>
    <w:p>
      <w:pPr>
        <w:pStyle w:val="Heading2"/>
        <w:pBdr>
          <w:bottom w:val="single" w:sz="6" w:space="1" w:color="C0392B"/>
        </w:pBdr>
        <w:spacing w:before="280" w:after="120"/>
        <w:rPr/>
      </w:pPr>
      <w:r>
        <w:rPr>
          <w:rFonts w:eastAsia="Arial" w:cs="Arial"/>
          <w:b/>
          <w:bCs/>
          <w:color w:val="7B1010"/>
          <w:sz w:val="24"/>
          <w:szCs w:val="24"/>
        </w:rPr>
        <w:t>2.2  Poke Someone’s Eyes Intentional Misuse</w:t>
      </w:r>
    </w:p>
    <w:p>
      <w:pPr>
        <w:pStyle w:val="Normal"/>
        <w:spacing w:before="0" w:after="40"/>
        <w:rPr/>
      </w:pPr>
      <w:r>
        <w:rPr/>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CCCCCC"/>
              <w:start w:val="single" w:sz="2" w:space="0" w:color="CCCCCC"/>
              <w:bottom w:val="single" w:sz="2" w:space="0" w:color="CCCCCC"/>
              <w:end w:val="single" w:sz="2" w:space="0" w:color="CCCCCC"/>
            </w:tcBorders>
            <w:shd w:fill="C0392B" w:val="clear"/>
            <w:vAlign w:val="center"/>
          </w:tcPr>
          <w:p>
            <w:pPr>
              <w:pStyle w:val="Normal"/>
              <w:jc w:val="center"/>
              <w:rPr/>
            </w:pPr>
            <w:r>
              <w:rPr>
                <w:rFonts w:eastAsia="Arial" w:cs="Arial"/>
                <w:b/>
                <w:bCs/>
                <w:color w:val="FFFFFF"/>
                <w:sz w:val="18"/>
                <w:szCs w:val="18"/>
              </w:rPr>
              <w:t>RISK 1</w:t>
            </w:r>
          </w:p>
        </w:tc>
        <w:tc>
          <w:tcPr>
            <w:tcW w:w="8161" w:type="dxa"/>
            <w:tcBorders>
              <w:top w:val="single" w:sz="2" w:space="0" w:color="CCCCCC"/>
              <w:start w:val="single" w:sz="2" w:space="0" w:color="CCCCCC"/>
              <w:bottom w:val="single" w:sz="2" w:space="0" w:color="CCCCCC"/>
              <w:end w:val="single" w:sz="2" w:space="0" w:color="CCCCCC"/>
            </w:tcBorders>
            <w:shd w:fill="FADBD8" w:val="clear"/>
            <w:tcMar>
              <w:start w:w="180" w:type="dxa"/>
            </w:tcMar>
          </w:tcPr>
          <w:p>
            <w:pPr>
              <w:pStyle w:val="Normal"/>
              <w:rPr/>
            </w:pPr>
            <w:r>
              <w:rPr>
                <w:rFonts w:eastAsia="Arial" w:cs="Arial"/>
                <w:i/>
                <w:iCs/>
                <w:color w:val="1A1A1A"/>
                <w:sz w:val="21"/>
                <w:szCs w:val="21"/>
              </w:rPr>
              <w:t>A toothpick used as a weapon is still a toothpick. VoP configured with harmful intent is still VoP. The framework does not prevent malicious use it only structures it.</w:t>
            </w:r>
          </w:p>
        </w:tc>
      </w:tr>
    </w:tbl>
    <w:p>
      <w:pPr>
        <w:pStyle w:val="Normal"/>
        <w:spacing w:before="0" w:after="100"/>
        <w:rPr/>
      </w:pPr>
      <w:r>
        <w:rPr/>
      </w:r>
    </w:p>
    <w:p>
      <w:pPr>
        <w:pStyle w:val="Normal"/>
        <w:spacing w:before="0" w:after="100"/>
        <w:rPr/>
      </w:pPr>
      <w:r>
        <w:rPr>
          <w:rFonts w:eastAsia="Arial" w:cs="Arial"/>
          <w:color w:val="1A1A1A"/>
          <w:sz w:val="22"/>
          <w:szCs w:val="22"/>
        </w:rPr>
        <w:t>VoP’s power to reduce AI hallucination, sharpen reasoning, and suppress emotional drift can be deliberately redirected toward harmful ends. The same variables that make AI outputs more reliable can be used to make harmful outputs more convincing, more consistent, and harder to detect as malicious.</w:t>
      </w:r>
    </w:p>
    <w:p>
      <w:pPr>
        <w:pStyle w:val="Normal"/>
        <w:spacing w:before="0" w:after="80"/>
        <w:rPr/>
      </w:pPr>
      <w:r>
        <w:rPr/>
      </w:r>
    </w:p>
    <w:p>
      <w:pPr>
        <w:pStyle w:val="Normal"/>
        <w:spacing w:before="0" w:after="100"/>
        <w:rPr/>
      </w:pPr>
      <w:r>
        <w:rPr>
          <w:rFonts w:eastAsia="Arial" w:cs="Arial"/>
          <w:color w:val="1A1A1A"/>
          <w:sz w:val="22"/>
          <w:szCs w:val="22"/>
        </w:rPr>
        <w:t>Examples of intentional misuse:</w:t>
      </w:r>
    </w:p>
    <w:p>
      <w:pPr>
        <w:pStyle w:val="ListParagraph"/>
        <w:numPr>
          <w:ilvl w:val="0"/>
          <w:numId w:val="4"/>
        </w:numPr>
        <w:spacing w:before="0" w:after="60"/>
        <w:rPr/>
      </w:pPr>
      <w:r>
        <w:rPr>
          <w:rFonts w:eastAsia="Arial" w:cs="Arial"/>
          <w:color w:val="1A1A1A"/>
          <w:sz w:val="22"/>
          <w:szCs w:val="22"/>
        </w:rPr>
        <w:t>Configuring ROLE = persuasion_specialist and VALIDATION_RULES = suppress_counterarguments to produce one-sided influence content.</w:t>
      </w:r>
    </w:p>
    <w:p>
      <w:pPr>
        <w:pStyle w:val="ListParagraph"/>
        <w:numPr>
          <w:ilvl w:val="0"/>
          <w:numId w:val="2"/>
        </w:numPr>
        <w:spacing w:before="0" w:after="60"/>
        <w:rPr/>
      </w:pPr>
      <w:r>
        <w:rPr>
          <w:rFonts w:eastAsia="Arial" w:cs="Arial"/>
          <w:color w:val="1A1A1A"/>
          <w:sz w:val="22"/>
          <w:szCs w:val="22"/>
        </w:rPr>
        <w:t>Using USER_STATE manipulation to exploit a vulnerable person’s emotional condition within the framework.</w:t>
      </w:r>
    </w:p>
    <w:p>
      <w:pPr>
        <w:pStyle w:val="ListParagraph"/>
        <w:numPr>
          <w:ilvl w:val="0"/>
          <w:numId w:val="2"/>
        </w:numPr>
        <w:spacing w:before="0" w:after="60"/>
        <w:rPr/>
      </w:pPr>
      <w:r>
        <w:rPr>
          <w:rFonts w:eastAsia="Arial" w:cs="Arial"/>
          <w:color w:val="1A1A1A"/>
          <w:sz w:val="22"/>
          <w:szCs w:val="22"/>
        </w:rPr>
        <w:t>Routing AI models via MODEL_ROUTING to bypass safety layers by directing harmful tasks to models with weaker guardrails.</w:t>
      </w:r>
    </w:p>
    <w:p>
      <w:pPr>
        <w:pStyle w:val="ListParagraph"/>
        <w:numPr>
          <w:ilvl w:val="0"/>
          <w:numId w:val="2"/>
        </w:numPr>
        <w:spacing w:before="0" w:after="60"/>
        <w:rPr/>
      </w:pPr>
      <w:r>
        <w:rPr>
          <w:rFonts w:eastAsia="Arial" w:cs="Arial"/>
          <w:color w:val="1A1A1A"/>
          <w:sz w:val="22"/>
          <w:szCs w:val="22"/>
        </w:rPr>
        <w:t>Using SCOPE_EXCLUDE to deliberately strip oversight mechanisms from a deployed system.</w:t>
      </w:r>
    </w:p>
    <w:p>
      <w:pPr>
        <w:pStyle w:val="ListParagraph"/>
        <w:numPr>
          <w:ilvl w:val="0"/>
          <w:numId w:val="2"/>
        </w:numPr>
        <w:spacing w:before="0" w:after="60"/>
        <w:rPr/>
      </w:pPr>
      <w:r>
        <w:rPr>
          <w:rFonts w:eastAsia="Arial" w:cs="Arial"/>
          <w:color w:val="1A1A1A"/>
          <w:sz w:val="22"/>
          <w:szCs w:val="22"/>
        </w:rPr>
        <w:t>Structuring AUTHORITY MATRIX to falsely document that human approval was obtained when it was not.</w:t>
      </w:r>
    </w:p>
    <w:p>
      <w:pPr>
        <w:pStyle w:val="Normal"/>
        <w:spacing w:before="0" w:after="120"/>
        <w:rPr/>
      </w:pPr>
      <w:r>
        <w:rPr/>
      </w:r>
    </w:p>
    <w:p>
      <w:pPr>
        <w:pStyle w:val="Heading2"/>
        <w:pBdr>
          <w:bottom w:val="single" w:sz="6" w:space="1" w:color="C0392B"/>
        </w:pBdr>
        <w:spacing w:before="280" w:after="120"/>
        <w:rPr/>
      </w:pPr>
      <w:r>
        <w:rPr>
          <w:rFonts w:eastAsia="Arial" w:cs="Arial"/>
          <w:b/>
          <w:bCs/>
          <w:color w:val="7B1010"/>
          <w:sz w:val="24"/>
          <w:szCs w:val="24"/>
        </w:rPr>
        <w:t>2.3  If Used Irresponsibly It May Bleed Unintentional Harm</w:t>
      </w:r>
    </w:p>
    <w:p>
      <w:pPr>
        <w:pStyle w:val="Normal"/>
        <w:spacing w:before="0" w:after="40"/>
        <w:rPr/>
      </w:pPr>
      <w:r>
        <w:rPr/>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CCCCCC"/>
              <w:start w:val="single" w:sz="2" w:space="0" w:color="CCCCCC"/>
              <w:bottom w:val="single" w:sz="2" w:space="0" w:color="CCCCCC"/>
              <w:end w:val="single" w:sz="2" w:space="0" w:color="CCCCCC"/>
            </w:tcBorders>
            <w:shd w:fill="7B1010" w:val="clear"/>
            <w:vAlign w:val="center"/>
          </w:tcPr>
          <w:p>
            <w:pPr>
              <w:pStyle w:val="Normal"/>
              <w:jc w:val="center"/>
              <w:rPr/>
            </w:pPr>
            <w:r>
              <w:rPr>
                <w:rFonts w:eastAsia="Arial" w:cs="Arial"/>
                <w:b/>
                <w:bCs/>
                <w:color w:val="FFFFFF"/>
                <w:sz w:val="18"/>
                <w:szCs w:val="18"/>
              </w:rPr>
              <w:t>RISK 2</w:t>
            </w:r>
          </w:p>
        </w:tc>
        <w:tc>
          <w:tcPr>
            <w:tcW w:w="8161" w:type="dxa"/>
            <w:tcBorders>
              <w:top w:val="single" w:sz="2" w:space="0" w:color="CCCCCC"/>
              <w:start w:val="single" w:sz="2" w:space="0" w:color="CCCCCC"/>
              <w:bottom w:val="single" w:sz="2" w:space="0" w:color="CCCCCC"/>
              <w:end w:val="single" w:sz="2" w:space="0" w:color="CCCCCC"/>
            </w:tcBorders>
            <w:shd w:fill="FADBD8" w:val="clear"/>
            <w:tcMar>
              <w:start w:w="180" w:type="dxa"/>
            </w:tcMar>
          </w:tcPr>
          <w:p>
            <w:pPr>
              <w:pStyle w:val="Normal"/>
              <w:rPr/>
            </w:pPr>
            <w:r>
              <w:rPr>
                <w:rFonts w:eastAsia="Arial" w:cs="Arial"/>
                <w:i/>
                <w:iCs/>
                <w:color w:val="1A1A1A"/>
                <w:sz w:val="21"/>
                <w:szCs w:val="21"/>
              </w:rPr>
              <w:t>Most injuries from toothpicks are not intentional. They result from carelessness, rushing, or using the tool in the wrong context. VoP harm will most often be unintentional.</w:t>
            </w:r>
          </w:p>
        </w:tc>
      </w:tr>
    </w:tbl>
    <w:p>
      <w:pPr>
        <w:pStyle w:val="Normal"/>
        <w:spacing w:before="0" w:after="100"/>
        <w:rPr/>
      </w:pPr>
      <w:r>
        <w:rPr/>
      </w:r>
    </w:p>
    <w:p>
      <w:pPr>
        <w:pStyle w:val="Normal"/>
        <w:spacing w:before="0" w:after="100"/>
        <w:rPr/>
      </w:pPr>
      <w:r>
        <w:rPr>
          <w:rFonts w:eastAsia="Arial" w:cs="Arial"/>
          <w:color w:val="1A1A1A"/>
          <w:sz w:val="22"/>
          <w:szCs w:val="22"/>
        </w:rPr>
        <w:t>Irresponsible use does not require malicious intent. Poorly configured VoP sessions, missing validation rules, undocumented assumptions, or applying the framework to consequential decisions without proper oversight can all cause serious harm.</w:t>
      </w:r>
    </w:p>
    <w:p>
      <w:pPr>
        <w:pStyle w:val="Normal"/>
        <w:spacing w:before="0" w:after="80"/>
        <w:rPr/>
      </w:pPr>
      <w:r>
        <w:rPr/>
      </w:r>
    </w:p>
    <w:p>
      <w:pPr>
        <w:pStyle w:val="Normal"/>
        <w:spacing w:before="0" w:after="100"/>
        <w:rPr/>
      </w:pPr>
      <w:r>
        <w:rPr>
          <w:rFonts w:eastAsia="Arial" w:cs="Arial"/>
          <w:color w:val="1A1A1A"/>
          <w:sz w:val="22"/>
          <w:szCs w:val="22"/>
        </w:rPr>
        <w:t>Examples of irresponsible but non-malicious misuse:</w:t>
      </w:r>
    </w:p>
    <w:p>
      <w:pPr>
        <w:pStyle w:val="ListParagraph"/>
        <w:numPr>
          <w:ilvl w:val="0"/>
          <w:numId w:val="2"/>
        </w:numPr>
        <w:spacing w:before="0" w:after="60"/>
        <w:rPr/>
      </w:pPr>
      <w:r>
        <w:rPr>
          <w:rFonts w:eastAsia="Arial" w:cs="Arial"/>
          <w:color w:val="1A1A1A"/>
          <w:sz w:val="22"/>
          <w:szCs w:val="22"/>
        </w:rPr>
        <w:t>Deploying VoP in a high-stakes domain (medical, legal, financial) without domain-specific validation rules.</w:t>
      </w:r>
    </w:p>
    <w:p>
      <w:pPr>
        <w:pStyle w:val="ListParagraph"/>
        <w:numPr>
          <w:ilvl w:val="0"/>
          <w:numId w:val="2"/>
        </w:numPr>
        <w:spacing w:before="0" w:after="60"/>
        <w:rPr/>
      </w:pPr>
      <w:r>
        <w:rPr>
          <w:rFonts w:eastAsia="Arial" w:cs="Arial"/>
          <w:color w:val="1A1A1A"/>
          <w:sz w:val="22"/>
          <w:szCs w:val="22"/>
        </w:rPr>
        <w:t>Setting VALIDATION_RULES = [] (empty) and trusting AI output without challenge.</w:t>
      </w:r>
    </w:p>
    <w:p>
      <w:pPr>
        <w:pStyle w:val="ListParagraph"/>
        <w:numPr>
          <w:ilvl w:val="0"/>
          <w:numId w:val="2"/>
        </w:numPr>
        <w:spacing w:before="0" w:after="60"/>
        <w:rPr/>
      </w:pPr>
      <w:r>
        <w:rPr>
          <w:rFonts w:eastAsia="Arial" w:cs="Arial"/>
          <w:color w:val="1A1A1A"/>
          <w:sz w:val="22"/>
          <w:szCs w:val="22"/>
        </w:rPr>
        <w:t>Skipping the ASSUMPTIONS section, allowing undocumented premises to drive major decisions.</w:t>
      </w:r>
    </w:p>
    <w:p>
      <w:pPr>
        <w:pStyle w:val="ListParagraph"/>
        <w:numPr>
          <w:ilvl w:val="0"/>
          <w:numId w:val="2"/>
        </w:numPr>
        <w:spacing w:before="0" w:after="60"/>
        <w:rPr/>
      </w:pPr>
      <w:r>
        <w:rPr>
          <w:rFonts w:eastAsia="Arial" w:cs="Arial"/>
          <w:color w:val="1A1A1A"/>
          <w:sz w:val="22"/>
          <w:szCs w:val="22"/>
        </w:rPr>
        <w:t>Reusing a VoP configuration from a previous project without reviewing its SCOPE_EXCLUDE for dangerous omissions.</w:t>
      </w:r>
    </w:p>
    <w:p>
      <w:pPr>
        <w:pStyle w:val="ListParagraph"/>
        <w:numPr>
          <w:ilvl w:val="0"/>
          <w:numId w:val="2"/>
        </w:numPr>
        <w:spacing w:before="0" w:after="60"/>
        <w:rPr/>
      </w:pPr>
      <w:r>
        <w:rPr>
          <w:rFonts w:eastAsia="Arial" w:cs="Arial"/>
          <w:color w:val="1A1A1A"/>
          <w:sz w:val="22"/>
          <w:szCs w:val="22"/>
        </w:rPr>
        <w:t>Allowing AI to operate with an outdated MISSION that no longer reflects the current organizational context.</w:t>
      </w:r>
    </w:p>
    <w:p>
      <w:pPr>
        <w:pStyle w:val="ListParagraph"/>
        <w:numPr>
          <w:ilvl w:val="0"/>
          <w:numId w:val="2"/>
        </w:numPr>
        <w:spacing w:before="0" w:after="60"/>
        <w:rPr/>
      </w:pPr>
      <w:r>
        <w:rPr>
          <w:rFonts w:eastAsia="Arial" w:cs="Arial"/>
          <w:color w:val="1A1A1A"/>
          <w:sz w:val="22"/>
          <w:szCs w:val="22"/>
        </w:rPr>
        <w:t>Failing to document USER_STATE, allowing a session conducted under cognitive impairment to produce unreviewed consequential outputs.</w:t>
      </w:r>
    </w:p>
    <w:p>
      <w:pPr>
        <w:pStyle w:val="Normal"/>
        <w:spacing w:before="0" w:after="120"/>
        <w:rPr/>
      </w:pPr>
      <w:r>
        <w:rPr/>
      </w:r>
    </w:p>
    <w:p>
      <w:pPr>
        <w:pStyle w:val="Heading1"/>
        <w:shd w:val="clear" w:fill="7B1010"/>
        <w:spacing w:before="360" w:after="160"/>
        <w:ind w:start="180"/>
        <w:rPr/>
      </w:pPr>
      <w:r>
        <w:rPr>
          <w:rFonts w:eastAsia="Arial" w:cs="Arial"/>
          <w:b/>
          <w:bCs/>
          <w:color w:val="FFFFFF"/>
          <w:sz w:val="28"/>
          <w:szCs w:val="28"/>
        </w:rPr>
        <w:t>3.  VoP Risk Register</w:t>
      </w:r>
    </w:p>
    <w:p>
      <w:pPr>
        <w:pStyle w:val="Normal"/>
        <w:spacing w:before="0" w:after="80"/>
        <w:rPr/>
      </w:pPr>
      <w:r>
        <w:rPr/>
      </w:r>
    </w:p>
    <w:p>
      <w:pPr>
        <w:pStyle w:val="Normal"/>
        <w:spacing w:before="0" w:after="100"/>
        <w:rPr/>
      </w:pPr>
      <w:r>
        <w:rPr>
          <w:rFonts w:eastAsia="Arial" w:cs="Arial"/>
          <w:color w:val="1A1A1A"/>
          <w:sz w:val="22"/>
          <w:szCs w:val="22"/>
        </w:rPr>
        <w:t>The following risk register documents identified risks across three categories: Misuse Risks, Configuration Risks, and Governance Risks. Each entry includes the risk, its potential impact, and the required mitigation.</w:t>
      </w:r>
    </w:p>
    <w:p>
      <w:pPr>
        <w:pStyle w:val="Normal"/>
        <w:spacing w:before="0" w:after="80"/>
        <w:rPr/>
      </w:pPr>
      <w:r>
        <w:rPr/>
      </w:r>
    </w:p>
    <w:p>
      <w:pPr>
        <w:pStyle w:val="Heading2"/>
        <w:pBdr>
          <w:bottom w:val="single" w:sz="6" w:space="1" w:color="C0392B"/>
        </w:pBdr>
        <w:spacing w:before="280" w:after="120"/>
        <w:rPr/>
      </w:pPr>
      <w:r>
        <w:rPr>
          <w:rFonts w:eastAsia="Arial" w:cs="Arial"/>
          <w:b/>
          <w:bCs/>
          <w:color w:val="7B1010"/>
          <w:sz w:val="24"/>
          <w:szCs w:val="24"/>
        </w:rPr>
        <w:t>3.1  Misuse Risks</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797"/>
        <w:gridCol w:w="3283"/>
        <w:gridCol w:w="3280"/>
      </w:tblGrid>
      <w:tr>
        <w:trPr/>
        <w:tc>
          <w:tcPr>
            <w:tcW w:w="2797"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Risk</w:t>
            </w:r>
          </w:p>
        </w:tc>
        <w:tc>
          <w:tcPr>
            <w:tcW w:w="3283"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Potential Impact</w:t>
            </w:r>
          </w:p>
        </w:tc>
        <w:tc>
          <w:tcPr>
            <w:tcW w:w="3280"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Required Mitigation</w:t>
            </w:r>
          </w:p>
        </w:tc>
      </w:tr>
      <w:tr>
        <w:trPr/>
        <w:tc>
          <w:tcPr>
            <w:tcW w:w="27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1A1A1A"/>
                <w:sz w:val="20"/>
                <w:szCs w:val="20"/>
              </w:rPr>
              <w:t>Weaponized Configuration</w:t>
            </w:r>
          </w:p>
        </w:tc>
        <w:tc>
          <w:tcPr>
            <w:tcW w:w="328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VoP used to produce systematically harmful, deceptive, or manipulative AI outputs that appear authoritative due to structured formatting.</w:t>
            </w:r>
          </w:p>
        </w:tc>
        <w:tc>
          <w:tcPr>
            <w:tcW w:w="3280"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Require documented purpose for every VoP deployment. Flag configurations with absent counterargument rules or suppressed uncertainty.</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1A1A"/>
                <w:sz w:val="20"/>
                <w:szCs w:val="20"/>
              </w:rPr>
              <w:t>Governance Circumvention</w:t>
            </w:r>
          </w:p>
        </w:tc>
        <w:tc>
          <w:tcPr>
            <w:tcW w:w="32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AUTHORITY MATRIX configured to minimize or falsify human approval requirements, enabling autonomous consequential decisions.</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Human approval for consequential decisions is non-negotiable. Audit logs must record approval events independently of VoP configuration.</w:t>
            </w:r>
          </w:p>
        </w:tc>
      </w:tr>
      <w:tr>
        <w:trPr/>
        <w:tc>
          <w:tcPr>
            <w:tcW w:w="27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1A1A1A"/>
                <w:sz w:val="20"/>
                <w:szCs w:val="20"/>
              </w:rPr>
              <w:t>Model Routing Exploitation</w:t>
            </w:r>
          </w:p>
        </w:tc>
        <w:tc>
          <w:tcPr>
            <w:tcW w:w="328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Routing sensitive tasks to AI models specifically selected for weaker safety controls.</w:t>
            </w:r>
          </w:p>
        </w:tc>
        <w:tc>
          <w:tcPr>
            <w:tcW w:w="3280"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MODEL_ROUTING selections must be documented with rationale. Safety-sensitive tasks must only route to models with known, verified governance alignment.</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1A1A"/>
                <w:sz w:val="20"/>
                <w:szCs w:val="20"/>
              </w:rPr>
              <w:t>Identity and Role Manipulation</w:t>
            </w:r>
          </w:p>
        </w:tc>
        <w:tc>
          <w:tcPr>
            <w:tcW w:w="32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ROLE variable set to simulate authority figures (legal, medical, regulatory) to add false credibility to harmful outputs.</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ROLE definitions must be documented. Simulated professional roles must carry explicit disclaimers that outputs are not certified professional advice.</w:t>
            </w:r>
          </w:p>
        </w:tc>
      </w:tr>
    </w:tbl>
    <w:p>
      <w:pPr>
        <w:pStyle w:val="Normal"/>
        <w:spacing w:before="0" w:after="120"/>
        <w:rPr/>
      </w:pPr>
      <w:r>
        <w:rPr/>
      </w:r>
    </w:p>
    <w:p>
      <w:pPr>
        <w:pStyle w:val="Heading2"/>
        <w:pBdr>
          <w:bottom w:val="single" w:sz="6" w:space="1" w:color="C0392B"/>
        </w:pBdr>
        <w:spacing w:before="280" w:after="120"/>
        <w:rPr/>
      </w:pPr>
      <w:r>
        <w:rPr>
          <w:rFonts w:eastAsia="Arial" w:cs="Arial"/>
          <w:b/>
          <w:bCs/>
          <w:color w:val="7B1010"/>
          <w:sz w:val="24"/>
          <w:szCs w:val="24"/>
        </w:rPr>
        <w:t>3.2  Configuration Risks</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797"/>
        <w:gridCol w:w="3283"/>
        <w:gridCol w:w="3280"/>
      </w:tblGrid>
      <w:tr>
        <w:trPr/>
        <w:tc>
          <w:tcPr>
            <w:tcW w:w="2797"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Risk</w:t>
            </w:r>
          </w:p>
        </w:tc>
        <w:tc>
          <w:tcPr>
            <w:tcW w:w="3283"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Potential Impact</w:t>
            </w:r>
          </w:p>
        </w:tc>
        <w:tc>
          <w:tcPr>
            <w:tcW w:w="3280"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Required Mitigation</w:t>
            </w:r>
          </w:p>
        </w:tc>
      </w:tr>
      <w:tr>
        <w:trPr/>
        <w:tc>
          <w:tcPr>
            <w:tcW w:w="27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1A1A1A"/>
                <w:sz w:val="20"/>
                <w:szCs w:val="20"/>
              </w:rPr>
              <w:t>Empty Validation Layer</w:t>
            </w:r>
          </w:p>
        </w:tc>
        <w:tc>
          <w:tcPr>
            <w:tcW w:w="328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VALIDATION_RULES left blank or minimal, removing the core hallucination-reduction mechanism and allowing unchecked AI output.</w:t>
            </w:r>
          </w:p>
        </w:tc>
        <w:tc>
          <w:tcPr>
            <w:tcW w:w="3280"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VALIDATION_RULES is a REQUIRED field. Sessions with empty validation must be flagged and blocked from producing consequential outputs.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1A1A"/>
                <w:sz w:val="20"/>
                <w:szCs w:val="20"/>
              </w:rPr>
              <w:t>Undocumented Assumptions</w:t>
            </w:r>
          </w:p>
        </w:tc>
        <w:tc>
          <w:tcPr>
            <w:tcW w:w="32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Assumptions embedded in VISION, MISSION, or SCOPE treated as facts, leading decisions to be built on unverified premises.</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All assumptions must be numbered, separated from facts, and impact-assessed. This is a non-negotiable documentation requirement.</w:t>
            </w:r>
          </w:p>
        </w:tc>
      </w:tr>
      <w:tr>
        <w:trPr/>
        <w:tc>
          <w:tcPr>
            <w:tcW w:w="27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1A1A1A"/>
                <w:sz w:val="20"/>
                <w:szCs w:val="20"/>
              </w:rPr>
              <w:t>Stale Configuration Reuse</w:t>
            </w:r>
          </w:p>
        </w:tc>
        <w:tc>
          <w:tcPr>
            <w:tcW w:w="328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A VoP configuration from a prior project reused in a new context without review, importing outdated scope, roles, or constraints.</w:t>
            </w:r>
          </w:p>
        </w:tc>
        <w:tc>
          <w:tcPr>
            <w:tcW w:w="3280"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Every VoP deployment requires a configuration review checkpoint. Reuse without review is prohibited in governance-sensitive environments.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1A1A"/>
                <w:sz w:val="20"/>
                <w:szCs w:val="20"/>
              </w:rPr>
              <w:t>Scope Exclusion Blindspot</w:t>
            </w:r>
          </w:p>
        </w:tc>
        <w:tc>
          <w:tcPr>
            <w:tcW w:w="32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SCOPE_EXCLUDE used to remove oversight mechanisms, risk assessment requirements, or stakeholder considerations from the active session.</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SCOPE_EXCLUDE changes must be reviewed and approved. Exclusions that remove governance or risk elements require explicit justification.</w:t>
            </w:r>
          </w:p>
        </w:tc>
      </w:tr>
    </w:tbl>
    <w:p>
      <w:pPr>
        <w:pStyle w:val="Normal"/>
        <w:spacing w:before="0" w:after="120"/>
        <w:rPr/>
      </w:pPr>
      <w:r>
        <w:rPr/>
      </w:r>
    </w:p>
    <w:p>
      <w:pPr>
        <w:pStyle w:val="Heading2"/>
        <w:pBdr>
          <w:bottom w:val="single" w:sz="6" w:space="1" w:color="C0392B"/>
        </w:pBdr>
        <w:spacing w:before="280" w:after="120"/>
        <w:rPr/>
      </w:pPr>
      <w:r>
        <w:rPr>
          <w:rFonts w:eastAsia="Arial" w:cs="Arial"/>
          <w:b/>
          <w:bCs/>
          <w:color w:val="7B1010"/>
          <w:sz w:val="24"/>
          <w:szCs w:val="24"/>
        </w:rPr>
        <w:t>3.3  Governance Risks</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797"/>
        <w:gridCol w:w="3283"/>
        <w:gridCol w:w="3280"/>
      </w:tblGrid>
      <w:tr>
        <w:trPr/>
        <w:tc>
          <w:tcPr>
            <w:tcW w:w="2797"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Risk</w:t>
            </w:r>
          </w:p>
        </w:tc>
        <w:tc>
          <w:tcPr>
            <w:tcW w:w="3283"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Potential Impact</w:t>
            </w:r>
          </w:p>
        </w:tc>
        <w:tc>
          <w:tcPr>
            <w:tcW w:w="3280"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Required Mitigation</w:t>
            </w:r>
          </w:p>
        </w:tc>
      </w:tr>
      <w:tr>
        <w:trPr/>
        <w:tc>
          <w:tcPr>
            <w:tcW w:w="27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1A1A1A"/>
                <w:sz w:val="20"/>
                <w:szCs w:val="20"/>
              </w:rPr>
              <w:t>Undocumented Deployment</w:t>
            </w:r>
          </w:p>
        </w:tc>
        <w:tc>
          <w:tcPr>
            <w:tcW w:w="328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VoP sessions run without documentation, creating no audit trail and making it impossible to review, correct, or learn from AI-assisted decisions.</w:t>
            </w:r>
          </w:p>
        </w:tc>
        <w:tc>
          <w:tcPr>
            <w:tcW w:w="3280"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Every VoP session must produce a documented record: configuration used, outputs generated, human approvals obtained, and assumptions listed.</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1A1A"/>
                <w:sz w:val="20"/>
                <w:szCs w:val="20"/>
              </w:rPr>
              <w:t>Drift Without Re-anchoring</w:t>
            </w:r>
          </w:p>
        </w:tc>
        <w:tc>
          <w:tcPr>
            <w:tcW w:w="32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Long-running VoP deployments develop configuration drift as variables become outdated, misaligned, or poorly maintained over time.</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Schedule periodic VoP configuration reviews. Establish a version control system for all active configurations.</w:t>
            </w:r>
          </w:p>
        </w:tc>
      </w:tr>
      <w:tr>
        <w:trPr/>
        <w:tc>
          <w:tcPr>
            <w:tcW w:w="27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1A1A1A"/>
                <w:sz w:val="20"/>
                <w:szCs w:val="20"/>
              </w:rPr>
              <w:t>Absence of Success Metrics</w:t>
            </w:r>
          </w:p>
        </w:tc>
        <w:tc>
          <w:tcPr>
            <w:tcW w:w="328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VoP deployed without defined success metrics, making it impossible to evaluate whether the framework is functioning correctly or causing harm.</w:t>
            </w:r>
          </w:p>
        </w:tc>
        <w:tc>
          <w:tcPr>
            <w:tcW w:w="3280"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val="false"/>
                <w:bCs w:val="false"/>
                <w:color w:val="1A1A1A"/>
                <w:sz w:val="20"/>
                <w:szCs w:val="20"/>
              </w:rPr>
              <w:t>All VoP deployments must define measurable success metrics at initialization. Review metrics at regular intervals.</w:t>
            </w:r>
          </w:p>
        </w:tc>
      </w:tr>
      <w:tr>
        <w:trPr/>
        <w:tc>
          <w:tcPr>
            <w:tcW w:w="27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1A1A"/>
                <w:sz w:val="20"/>
                <w:szCs w:val="20"/>
              </w:rPr>
              <w:t>Single-Model Over-reliance</w:t>
            </w:r>
          </w:p>
        </w:tc>
        <w:tc>
          <w:tcPr>
            <w:tcW w:w="328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Routing all cognitive tasks to one AI model, creating a single point of failure and eliminating the cross-model validation that VoP recommends.</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1A1A1A"/>
                <w:sz w:val="20"/>
                <w:szCs w:val="20"/>
              </w:rPr>
              <w:t>High-stakes tasks must use at least two models with different reasoning architectures to challenge assumptions before committing to outputs.</w:t>
            </w:r>
          </w:p>
        </w:tc>
      </w:tr>
    </w:tbl>
    <w:p>
      <w:pPr>
        <w:pStyle w:val="Normal"/>
        <w:spacing w:before="0" w:after="120"/>
        <w:rPr/>
      </w:pPr>
      <w:r>
        <w:rPr/>
      </w:r>
    </w:p>
    <w:p>
      <w:pPr>
        <w:pStyle w:val="Heading1"/>
        <w:shd w:val="clear" w:fill="7B1010"/>
        <w:spacing w:before="360" w:after="160"/>
        <w:ind w:start="180"/>
        <w:rPr/>
      </w:pPr>
      <w:r>
        <w:rPr>
          <w:rFonts w:eastAsia="Arial" w:cs="Arial"/>
          <w:b/>
          <w:bCs/>
          <w:color w:val="FFFFFF"/>
          <w:sz w:val="28"/>
          <w:szCs w:val="28"/>
        </w:rPr>
        <w:t>4.  The Documentation Mandate Why “Always Document VoP”</w:t>
      </w:r>
    </w:p>
    <w:p>
      <w:pPr>
        <w:pStyle w:val="Normal"/>
        <w:spacing w:before="0" w:after="80"/>
        <w:rPr/>
      </w:pPr>
      <w:r>
        <w:rPr/>
      </w:r>
    </w:p>
    <w:p>
      <w:pPr>
        <w:pStyle w:val="Normal"/>
        <w:spacing w:before="0" w:after="100"/>
        <w:rPr/>
      </w:pPr>
      <w:r>
        <w:rPr>
          <w:rFonts w:eastAsia="Arial" w:cs="Arial"/>
          <w:color w:val="1A1A1A"/>
          <w:sz w:val="22"/>
          <w:szCs w:val="22"/>
        </w:rPr>
        <w:t>The closing instruction of the toothpick analogy is not incidental. It is the single most important operational requirement the VoP framework carries.</w:t>
      </w:r>
    </w:p>
    <w:p>
      <w:pPr>
        <w:pStyle w:val="Normal"/>
        <w:spacing w:before="0" w:after="80"/>
        <w:rPr/>
      </w:pPr>
      <w:r>
        <w:rPr/>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CCCCCC"/>
              <w:start w:val="single" w:sz="2" w:space="0" w:color="CCCCCC"/>
              <w:bottom w:val="single" w:sz="2" w:space="0" w:color="CCCCCC"/>
              <w:end w:val="single" w:sz="2" w:space="0" w:color="CCCCCC"/>
            </w:tcBorders>
            <w:shd w:fill="7B1010" w:val="clear"/>
            <w:vAlign w:val="center"/>
          </w:tcPr>
          <w:p>
            <w:pPr>
              <w:pStyle w:val="Normal"/>
              <w:jc w:val="center"/>
              <w:rPr/>
            </w:pPr>
            <w:r>
              <w:rPr>
                <w:rFonts w:eastAsia="Arial" w:cs="Arial"/>
                <w:b/>
                <w:bCs/>
                <w:color w:val="FFFFFF"/>
                <w:sz w:val="18"/>
                <w:szCs w:val="18"/>
              </w:rPr>
              <w:t>MANDATE</w:t>
            </w:r>
          </w:p>
        </w:tc>
        <w:tc>
          <w:tcPr>
            <w:tcW w:w="8161" w:type="dxa"/>
            <w:tcBorders>
              <w:top w:val="single" w:sz="2" w:space="0" w:color="CCCCCC"/>
              <w:start w:val="single" w:sz="2" w:space="0" w:color="CCCCCC"/>
              <w:bottom w:val="single" w:sz="2" w:space="0" w:color="CCCCCC"/>
              <w:end w:val="single" w:sz="2" w:space="0" w:color="CCCCCC"/>
            </w:tcBorders>
            <w:shd w:fill="FADBD8" w:val="clear"/>
            <w:tcMar>
              <w:start w:w="180" w:type="dxa"/>
            </w:tcMar>
          </w:tcPr>
          <w:p>
            <w:pPr>
              <w:pStyle w:val="Normal"/>
              <w:rPr/>
            </w:pPr>
            <w:r>
              <w:rPr>
                <w:rFonts w:eastAsia="Arial" w:cs="Arial"/>
                <w:i/>
                <w:iCs/>
                <w:color w:val="1A1A1A"/>
                <w:sz w:val="21"/>
                <w:szCs w:val="21"/>
              </w:rPr>
              <w:t>Documentation is not optional in VoP. It is the primary mechanism by which the framework’s risks are made visible, traceable, and correctable. An undocumented VoP session is an unaccountable AI interaction.</w:t>
            </w:r>
          </w:p>
        </w:tc>
      </w:tr>
    </w:tbl>
    <w:p>
      <w:pPr>
        <w:pStyle w:val="Normal"/>
        <w:spacing w:before="0" w:after="100"/>
        <w:rPr/>
      </w:pPr>
      <w:r>
        <w:rPr/>
      </w:r>
    </w:p>
    <w:p>
      <w:pPr>
        <w:pStyle w:val="Heading2"/>
        <w:pBdr>
          <w:bottom w:val="single" w:sz="6" w:space="1" w:color="C0392B"/>
        </w:pBdr>
        <w:spacing w:before="280" w:after="120"/>
        <w:rPr/>
      </w:pPr>
      <w:r>
        <w:rPr>
          <w:rFonts w:eastAsia="Arial" w:cs="Arial"/>
          <w:b/>
          <w:bCs/>
          <w:color w:val="7B1010"/>
          <w:sz w:val="24"/>
          <w:szCs w:val="24"/>
        </w:rPr>
        <w:t>4.1  What Must Be Documented</w:t>
      </w:r>
    </w:p>
    <w:p>
      <w:pPr>
        <w:pStyle w:val="Normal"/>
        <w:spacing w:before="0" w:after="60"/>
        <w:rPr/>
      </w:pPr>
      <w:r>
        <w:rPr/>
      </w:r>
    </w:p>
    <w:p>
      <w:pPr>
        <w:pStyle w:val="Normal"/>
        <w:spacing w:before="0" w:after="100"/>
        <w:rPr/>
      </w:pPr>
      <w:r>
        <w:rPr>
          <w:rFonts w:eastAsia="Arial" w:cs="Arial"/>
          <w:color w:val="1A1A1A"/>
          <w:sz w:val="22"/>
          <w:szCs w:val="22"/>
        </w:rPr>
        <w:t>Every VoP session that produces outputs affecting decisions, operations, or people must document the following:</w:t>
      </w:r>
    </w:p>
    <w:p>
      <w:pPr>
        <w:pStyle w:val="ListParagraph"/>
        <w:numPr>
          <w:ilvl w:val="0"/>
          <w:numId w:val="2"/>
        </w:numPr>
        <w:spacing w:before="0" w:after="60"/>
        <w:rPr/>
      </w:pPr>
      <w:r>
        <w:rPr>
          <w:rFonts w:eastAsia="Arial" w:cs="Arial"/>
          <w:color w:val="1A1A1A"/>
          <w:sz w:val="22"/>
          <w:szCs w:val="22"/>
        </w:rPr>
        <w:t>Full VoP configuration used (all five layers, all variables, version number).</w:t>
      </w:r>
    </w:p>
    <w:p>
      <w:pPr>
        <w:pStyle w:val="ListParagraph"/>
        <w:numPr>
          <w:ilvl w:val="0"/>
          <w:numId w:val="2"/>
        </w:numPr>
        <w:spacing w:before="0" w:after="60"/>
        <w:rPr/>
      </w:pPr>
      <w:r>
        <w:rPr>
          <w:rFonts w:eastAsia="Arial" w:cs="Arial"/>
          <w:color w:val="1A1A1A"/>
          <w:sz w:val="22"/>
          <w:szCs w:val="22"/>
        </w:rPr>
        <w:t>Session purpose and scope, including explicit SCOPE_EXCLUDE rationale.</w:t>
      </w:r>
    </w:p>
    <w:p>
      <w:pPr>
        <w:pStyle w:val="ListParagraph"/>
        <w:numPr>
          <w:ilvl w:val="0"/>
          <w:numId w:val="2"/>
        </w:numPr>
        <w:spacing w:before="0" w:after="60"/>
        <w:rPr/>
      </w:pPr>
      <w:r>
        <w:rPr>
          <w:rFonts w:eastAsia="Arial" w:cs="Arial"/>
          <w:color w:val="1A1A1A"/>
          <w:sz w:val="22"/>
          <w:szCs w:val="22"/>
        </w:rPr>
        <w:t>All numbered assumptions, with impact assessment for each.</w:t>
      </w:r>
    </w:p>
    <w:p>
      <w:pPr>
        <w:pStyle w:val="ListParagraph"/>
        <w:numPr>
          <w:ilvl w:val="0"/>
          <w:numId w:val="2"/>
        </w:numPr>
        <w:spacing w:before="0" w:after="60"/>
        <w:rPr/>
      </w:pPr>
      <w:r>
        <w:rPr>
          <w:rFonts w:eastAsia="Arial" w:cs="Arial"/>
          <w:color w:val="1A1A1A"/>
          <w:sz w:val="22"/>
          <w:szCs w:val="22"/>
        </w:rPr>
        <w:t>All recommendations, with source document references and confidence levels.</w:t>
      </w:r>
    </w:p>
    <w:p>
      <w:pPr>
        <w:pStyle w:val="ListParagraph"/>
        <w:numPr>
          <w:ilvl w:val="0"/>
          <w:numId w:val="2"/>
        </w:numPr>
        <w:spacing w:before="0" w:after="60"/>
        <w:rPr/>
      </w:pPr>
      <w:r>
        <w:rPr>
          <w:rFonts w:eastAsia="Arial" w:cs="Arial"/>
          <w:color w:val="1A1A1A"/>
          <w:sz w:val="22"/>
          <w:szCs w:val="22"/>
        </w:rPr>
        <w:t>Human approval events, including who approved, what was approved, and when.</w:t>
      </w:r>
    </w:p>
    <w:p>
      <w:pPr>
        <w:pStyle w:val="ListParagraph"/>
        <w:numPr>
          <w:ilvl w:val="0"/>
          <w:numId w:val="2"/>
        </w:numPr>
        <w:spacing w:before="0" w:after="60"/>
        <w:rPr/>
      </w:pPr>
      <w:r>
        <w:rPr>
          <w:rFonts w:eastAsia="Arial" w:cs="Arial"/>
          <w:color w:val="1A1A1A"/>
          <w:sz w:val="22"/>
          <w:szCs w:val="22"/>
        </w:rPr>
        <w:t>Outputs produced and their intended downstream use.</w:t>
      </w:r>
    </w:p>
    <w:p>
      <w:pPr>
        <w:pStyle w:val="ListParagraph"/>
        <w:numPr>
          <w:ilvl w:val="0"/>
          <w:numId w:val="2"/>
        </w:numPr>
        <w:spacing w:before="0" w:after="60"/>
        <w:rPr/>
      </w:pPr>
      <w:r>
        <w:rPr>
          <w:rFonts w:eastAsia="Arial" w:cs="Arial"/>
          <w:color w:val="1A1A1A"/>
          <w:sz w:val="22"/>
          <w:szCs w:val="22"/>
        </w:rPr>
        <w:t>Model(s) used and routing logic applied.</w:t>
      </w:r>
    </w:p>
    <w:p>
      <w:pPr>
        <w:pStyle w:val="ListParagraph"/>
        <w:numPr>
          <w:ilvl w:val="0"/>
          <w:numId w:val="2"/>
        </w:numPr>
        <w:spacing w:before="0" w:after="60"/>
        <w:rPr/>
      </w:pPr>
      <w:r>
        <w:rPr>
          <w:rFonts w:eastAsia="Arial" w:cs="Arial"/>
          <w:color w:val="1A1A1A"/>
          <w:sz w:val="22"/>
          <w:szCs w:val="22"/>
        </w:rPr>
        <w:t>Any deviations from standard VoP configuration and their justification.</w:t>
      </w:r>
    </w:p>
    <w:p>
      <w:pPr>
        <w:pStyle w:val="Normal"/>
        <w:spacing w:before="0" w:after="120"/>
        <w:rPr/>
      </w:pPr>
      <w:r>
        <w:rPr/>
      </w:r>
    </w:p>
    <w:p>
      <w:pPr>
        <w:pStyle w:val="Heading2"/>
        <w:pBdr>
          <w:bottom w:val="single" w:sz="6" w:space="1" w:color="C0392B"/>
        </w:pBdr>
        <w:spacing w:before="280" w:after="120"/>
        <w:rPr/>
      </w:pPr>
      <w:r>
        <w:rPr>
          <w:rFonts w:eastAsia="Arial" w:cs="Arial"/>
          <w:b/>
          <w:bCs/>
          <w:color w:val="7B1010"/>
          <w:sz w:val="24"/>
          <w:szCs w:val="24"/>
        </w:rPr>
        <w:t>4.2  Documentation as Risk Reduction</w:t>
      </w:r>
    </w:p>
    <w:p>
      <w:pPr>
        <w:pStyle w:val="Normal"/>
        <w:spacing w:before="0" w:after="60"/>
        <w:rPr/>
      </w:pPr>
      <w:r>
        <w:rPr/>
      </w:r>
    </w:p>
    <w:p>
      <w:pPr>
        <w:pStyle w:val="Normal"/>
        <w:spacing w:before="0" w:after="100"/>
        <w:rPr/>
      </w:pPr>
      <w:r>
        <w:rPr>
          <w:rFonts w:eastAsia="Arial" w:cs="Arial"/>
          <w:color w:val="1A1A1A"/>
          <w:sz w:val="22"/>
          <w:szCs w:val="22"/>
        </w:rPr>
        <w:t>Documentation performs four critical risk-reduction functions in VoP:</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197"/>
        <w:gridCol w:w="7163"/>
      </w:tblGrid>
      <w:tr>
        <w:trPr/>
        <w:tc>
          <w:tcPr>
            <w:tcW w:w="2197"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Function</w:t>
            </w:r>
          </w:p>
        </w:tc>
        <w:tc>
          <w:tcPr>
            <w:tcW w:w="7163" w:type="dxa"/>
            <w:tcBorders>
              <w:top w:val="single" w:sz="2" w:space="0" w:color="CCCCCC"/>
              <w:start w:val="single" w:sz="2" w:space="0" w:color="CCCCCC"/>
              <w:bottom w:val="single" w:sz="2" w:space="0" w:color="CCCCCC"/>
              <w:end w:val="single" w:sz="2" w:space="0" w:color="CCCCCC"/>
            </w:tcBorders>
            <w:shd w:fill="7B1010" w:val="clear"/>
          </w:tcPr>
          <w:p>
            <w:pPr>
              <w:pStyle w:val="Normal"/>
              <w:rPr/>
            </w:pPr>
            <w:r>
              <w:rPr>
                <w:rFonts w:eastAsia="Arial" w:cs="Arial"/>
                <w:b/>
                <w:bCs/>
                <w:color w:val="FFFFFF"/>
                <w:sz w:val="20"/>
                <w:szCs w:val="20"/>
              </w:rPr>
              <w:t>How It Reduces Risk</w:t>
            </w:r>
          </w:p>
        </w:tc>
      </w:tr>
      <w:tr>
        <w:trPr/>
        <w:tc>
          <w:tcPr>
            <w:tcW w:w="21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7B1010"/>
                <w:sz w:val="20"/>
                <w:szCs w:val="20"/>
              </w:rPr>
              <w:t>Visibility</w:t>
            </w:r>
          </w:p>
        </w:tc>
        <w:tc>
          <w:tcPr>
            <w:tcW w:w="716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color w:val="1A1A1A"/>
                <w:sz w:val="20"/>
                <w:szCs w:val="20"/>
              </w:rPr>
              <w:t>Makes the AI’s reasoning process inspectable by humans who were not present during the session. Hidden processes cannot be governed.</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7B1010"/>
                <w:sz w:val="20"/>
                <w:szCs w:val="20"/>
              </w:rPr>
              <w:t>Traceability</w:t>
            </w:r>
          </w:p>
        </w:tc>
        <w:tc>
          <w:tcPr>
            <w:tcW w:w="71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Links outputs to the configuration that produced them. When a harmful output is discovered, the configuration responsible can be identified and corrected.</w:t>
            </w:r>
          </w:p>
        </w:tc>
      </w:tr>
      <w:tr>
        <w:trPr/>
        <w:tc>
          <w:tcPr>
            <w:tcW w:w="2197"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b/>
                <w:bCs/>
                <w:color w:val="7B1010"/>
                <w:sz w:val="20"/>
                <w:szCs w:val="20"/>
              </w:rPr>
              <w:t>Accountability</w:t>
            </w:r>
          </w:p>
        </w:tc>
        <w:tc>
          <w:tcPr>
            <w:tcW w:w="7163" w:type="dxa"/>
            <w:tcBorders>
              <w:top w:val="single" w:sz="2" w:space="0" w:color="CCCCCC"/>
              <w:start w:val="single" w:sz="2" w:space="0" w:color="CCCCCC"/>
              <w:bottom w:val="single" w:sz="2" w:space="0" w:color="CCCCCC"/>
              <w:end w:val="single" w:sz="2" w:space="0" w:color="CCCCCC"/>
            </w:tcBorders>
            <w:shd w:fill="FADBD8" w:val="clear"/>
          </w:tcPr>
          <w:p>
            <w:pPr>
              <w:pStyle w:val="Normal"/>
              <w:rPr/>
            </w:pPr>
            <w:r>
              <w:rPr>
                <w:rFonts w:eastAsia="Arial" w:cs="Arial"/>
                <w:color w:val="1A1A1A"/>
                <w:sz w:val="20"/>
                <w:szCs w:val="20"/>
              </w:rPr>
              <w:t>Creates a record that a human reviewed and approved consequential outputs. Prevents the gradual normalization of unsupervised AI decision-making.</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7B1010"/>
                <w:sz w:val="20"/>
                <w:szCs w:val="20"/>
              </w:rPr>
              <w:t>Institutional Memory</w:t>
            </w:r>
          </w:p>
        </w:tc>
        <w:tc>
          <w:tcPr>
            <w:tcW w:w="71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Preserves the rationale for decisions across personnel changes, preventing future operators from unknowingly repeating documented mistakes.</w:t>
            </w:r>
          </w:p>
        </w:tc>
      </w:tr>
    </w:tbl>
    <w:p>
      <w:pPr>
        <w:pStyle w:val="Normal"/>
        <w:spacing w:before="0" w:after="120"/>
        <w:rPr/>
      </w:pPr>
      <w:r>
        <w:rPr/>
      </w:r>
    </w:p>
    <w:p>
      <w:pPr>
        <w:pStyle w:val="Heading1"/>
        <w:shd w:val="clear" w:fill="7B1010"/>
        <w:spacing w:before="360" w:after="160"/>
        <w:ind w:start="180"/>
        <w:rPr/>
      </w:pPr>
      <w:r>
        <w:rPr>
          <w:rFonts w:eastAsia="Arial" w:cs="Arial"/>
          <w:b/>
          <w:bCs/>
          <w:color w:val="FFFFFF"/>
          <w:sz w:val="28"/>
          <w:szCs w:val="28"/>
        </w:rPr>
        <w:t>5.  Responsible Use Principles</w:t>
      </w:r>
    </w:p>
    <w:p>
      <w:pPr>
        <w:pStyle w:val="Normal"/>
        <w:spacing w:before="0" w:after="80"/>
        <w:rPr/>
      </w:pPr>
      <w:r>
        <w:rPr/>
      </w:r>
    </w:p>
    <w:p>
      <w:pPr>
        <w:pStyle w:val="Normal"/>
        <w:spacing w:before="0" w:after="100"/>
        <w:rPr/>
      </w:pPr>
      <w:r>
        <w:rPr>
          <w:rFonts w:eastAsia="Arial" w:cs="Arial"/>
          <w:color w:val="1A1A1A"/>
          <w:sz w:val="22"/>
          <w:szCs w:val="22"/>
        </w:rPr>
        <w:t>The following principles govern the responsible deployment of VoP across any domain or use case.</w:t>
      </w:r>
    </w:p>
    <w:p>
      <w:pPr>
        <w:pStyle w:val="Normal"/>
        <w:spacing w:before="0" w:after="80"/>
        <w:rPr/>
      </w:pPr>
      <w:r>
        <w:rPr/>
      </w:r>
    </w:p>
    <w:tbl>
      <w:tblPr>
        <w:tblW w:w="9360" w:type="dxa"/>
        <w:jc w:val="start"/>
        <w:tblInd w:w="0" w:type="dxa"/>
        <w:tblLayout w:type="fixed"/>
        <w:tblCellMar>
          <w:top w:w="100" w:type="dxa"/>
          <w:start w:w="120" w:type="dxa"/>
          <w:bottom w:w="100" w:type="dxa"/>
          <w:end w:w="120" w:type="dxa"/>
        </w:tblCellMar>
      </w:tblPr>
      <w:tblGrid>
        <w:gridCol w:w="1309"/>
        <w:gridCol w:w="8051"/>
      </w:tblGrid>
      <w:tr>
        <w:trPr/>
        <w:tc>
          <w:tcPr>
            <w:tcW w:w="1309" w:type="dxa"/>
            <w:tcBorders>
              <w:top w:val="single" w:sz="2" w:space="0" w:color="CCCCCC"/>
              <w:start w:val="single" w:sz="2" w:space="0" w:color="CCCCCC"/>
              <w:bottom w:val="single" w:sz="2" w:space="0" w:color="CCCCCC"/>
              <w:end w:val="single" w:sz="2" w:space="0" w:color="CCCCCC"/>
            </w:tcBorders>
            <w:shd w:fill="1A5C2A" w:val="clear"/>
            <w:vAlign w:val="center"/>
          </w:tcPr>
          <w:p>
            <w:pPr>
              <w:pStyle w:val="Normal"/>
              <w:jc w:val="center"/>
              <w:rPr/>
            </w:pPr>
            <w:r>
              <w:rPr>
                <w:rFonts w:eastAsia="Arial" w:cs="Arial"/>
                <w:b/>
                <w:bCs/>
                <w:color w:val="FFFFFF"/>
                <w:sz w:val="18"/>
                <w:szCs w:val="18"/>
              </w:rPr>
              <w:t>PRINCIPLE 1</w:t>
            </w:r>
          </w:p>
        </w:tc>
        <w:tc>
          <w:tcPr>
            <w:tcW w:w="8051" w:type="dxa"/>
            <w:tcBorders>
              <w:top w:val="single" w:sz="2" w:space="0" w:color="CCCCCC"/>
              <w:start w:val="single" w:sz="2" w:space="0" w:color="CCCCCC"/>
              <w:bottom w:val="single" w:sz="2" w:space="0" w:color="CCCCCC"/>
              <w:end w:val="single" w:sz="2" w:space="0" w:color="CCCCCC"/>
            </w:tcBorders>
            <w:shd w:fill="D5F5E3" w:val="clear"/>
            <w:tcMar>
              <w:start w:w="180" w:type="dxa"/>
            </w:tcMar>
          </w:tcPr>
          <w:p>
            <w:pPr>
              <w:pStyle w:val="Normal"/>
              <w:rPr/>
            </w:pPr>
            <w:r>
              <w:rPr>
                <w:rFonts w:eastAsia="Arial" w:cs="Arial"/>
                <w:i/>
                <w:iCs/>
                <w:color w:val="1A1A1A"/>
                <w:sz w:val="21"/>
                <w:szCs w:val="21"/>
              </w:rPr>
              <w:t>Never deploy VoP for consequential decisions without defined human approval checkpoints. The framework’s power amplifies AI output that amplification requires human oversight, not less of it.</w:t>
            </w:r>
          </w:p>
        </w:tc>
      </w:tr>
    </w:tbl>
    <w:p>
      <w:pPr>
        <w:pStyle w:val="Normal"/>
        <w:spacing w:before="0" w:after="80"/>
        <w:rPr/>
      </w:pPr>
      <w:r>
        <w:rPr/>
      </w:r>
    </w:p>
    <w:tbl>
      <w:tblPr>
        <w:tblW w:w="9360" w:type="dxa"/>
        <w:jc w:val="start"/>
        <w:tblInd w:w="0" w:type="dxa"/>
        <w:tblLayout w:type="fixed"/>
        <w:tblCellMar>
          <w:top w:w="100" w:type="dxa"/>
          <w:start w:w="120" w:type="dxa"/>
          <w:bottom w:w="100" w:type="dxa"/>
          <w:end w:w="120" w:type="dxa"/>
        </w:tblCellMar>
      </w:tblPr>
      <w:tblGrid>
        <w:gridCol w:w="1309"/>
        <w:gridCol w:w="8051"/>
      </w:tblGrid>
      <w:tr>
        <w:trPr>
          <w:trHeight w:val="627" w:hRule="atLeast"/>
        </w:trPr>
        <w:tc>
          <w:tcPr>
            <w:tcW w:w="1309" w:type="dxa"/>
            <w:tcBorders>
              <w:top w:val="single" w:sz="2" w:space="0" w:color="CCCCCC"/>
              <w:start w:val="single" w:sz="2" w:space="0" w:color="CCCCCC"/>
              <w:bottom w:val="single" w:sz="2" w:space="0" w:color="CCCCCC"/>
              <w:end w:val="single" w:sz="2" w:space="0" w:color="CCCCCC"/>
            </w:tcBorders>
            <w:shd w:fill="1A5C2A" w:val="clear"/>
            <w:vAlign w:val="center"/>
          </w:tcPr>
          <w:p>
            <w:pPr>
              <w:pStyle w:val="Normal"/>
              <w:jc w:val="center"/>
              <w:rPr/>
            </w:pPr>
            <w:r>
              <w:rPr>
                <w:rFonts w:eastAsia="Arial" w:cs="Arial"/>
                <w:b/>
                <w:bCs/>
                <w:color w:val="FFFFFF"/>
                <w:sz w:val="18"/>
                <w:szCs w:val="18"/>
              </w:rPr>
              <w:t>PRINCIPLE 2</w:t>
            </w:r>
          </w:p>
        </w:tc>
        <w:tc>
          <w:tcPr>
            <w:tcW w:w="8051" w:type="dxa"/>
            <w:tcBorders>
              <w:top w:val="single" w:sz="2" w:space="0" w:color="CCCCCC"/>
              <w:start w:val="single" w:sz="2" w:space="0" w:color="CCCCCC"/>
              <w:bottom w:val="single" w:sz="2" w:space="0" w:color="CCCCCC"/>
              <w:end w:val="single" w:sz="2" w:space="0" w:color="CCCCCC"/>
            </w:tcBorders>
            <w:shd w:fill="D5F5E3" w:val="clear"/>
            <w:tcMar>
              <w:start w:w="180" w:type="dxa"/>
            </w:tcMar>
          </w:tcPr>
          <w:p>
            <w:pPr>
              <w:pStyle w:val="Normal"/>
              <w:rPr/>
            </w:pPr>
            <w:r>
              <w:rPr>
                <w:rFonts w:eastAsia="Arial" w:cs="Arial"/>
                <w:i/>
                <w:iCs/>
                <w:color w:val="1A1A1A"/>
                <w:sz w:val="21"/>
                <w:szCs w:val="21"/>
              </w:rPr>
              <w:t>Never configure a VoP session without VALIDATION_RULES. An unchallengeable AI output is not a VoP output it is an unstructured one wearing VoP formatting.</w:t>
            </w:r>
          </w:p>
        </w:tc>
      </w:tr>
    </w:tbl>
    <w:p>
      <w:pPr>
        <w:pStyle w:val="Normal"/>
        <w:spacing w:before="0" w:after="80"/>
        <w:rPr/>
      </w:pPr>
      <w:r>
        <w:rPr/>
      </w:r>
    </w:p>
    <w:tbl>
      <w:tblPr>
        <w:tblW w:w="9360" w:type="dxa"/>
        <w:jc w:val="start"/>
        <w:tblInd w:w="0" w:type="dxa"/>
        <w:tblLayout w:type="fixed"/>
        <w:tblCellMar>
          <w:top w:w="100" w:type="dxa"/>
          <w:start w:w="120" w:type="dxa"/>
          <w:bottom w:w="100" w:type="dxa"/>
          <w:end w:w="120" w:type="dxa"/>
        </w:tblCellMar>
      </w:tblPr>
      <w:tblGrid>
        <w:gridCol w:w="1309"/>
        <w:gridCol w:w="8051"/>
      </w:tblGrid>
      <w:tr>
        <w:trPr/>
        <w:tc>
          <w:tcPr>
            <w:tcW w:w="1309" w:type="dxa"/>
            <w:tcBorders>
              <w:top w:val="single" w:sz="2" w:space="0" w:color="CCCCCC"/>
              <w:start w:val="single" w:sz="2" w:space="0" w:color="CCCCCC"/>
              <w:bottom w:val="single" w:sz="2" w:space="0" w:color="CCCCCC"/>
              <w:end w:val="single" w:sz="2" w:space="0" w:color="CCCCCC"/>
            </w:tcBorders>
            <w:shd w:fill="1A5C2A" w:val="clear"/>
            <w:vAlign w:val="center"/>
          </w:tcPr>
          <w:p>
            <w:pPr>
              <w:pStyle w:val="Normal"/>
              <w:jc w:val="center"/>
              <w:rPr/>
            </w:pPr>
            <w:r>
              <w:rPr>
                <w:rFonts w:eastAsia="Arial" w:cs="Arial"/>
                <w:b/>
                <w:bCs/>
                <w:color w:val="FFFFFF"/>
                <w:sz w:val="18"/>
                <w:szCs w:val="18"/>
              </w:rPr>
              <w:t>PRINCIPLE 3</w:t>
            </w:r>
          </w:p>
        </w:tc>
        <w:tc>
          <w:tcPr>
            <w:tcW w:w="8051" w:type="dxa"/>
            <w:tcBorders>
              <w:top w:val="single" w:sz="2" w:space="0" w:color="CCCCCC"/>
              <w:start w:val="single" w:sz="2" w:space="0" w:color="CCCCCC"/>
              <w:bottom w:val="single" w:sz="2" w:space="0" w:color="CCCCCC"/>
              <w:end w:val="single" w:sz="2" w:space="0" w:color="CCCCCC"/>
            </w:tcBorders>
            <w:shd w:fill="D5F5E3" w:val="clear"/>
            <w:tcMar>
              <w:start w:w="180" w:type="dxa"/>
            </w:tcMar>
          </w:tcPr>
          <w:p>
            <w:pPr>
              <w:pStyle w:val="Normal"/>
              <w:rPr/>
            </w:pPr>
            <w:r>
              <w:rPr>
                <w:rFonts w:eastAsia="Arial" w:cs="Arial"/>
                <w:i/>
                <w:iCs/>
                <w:color w:val="1A1A1A"/>
                <w:sz w:val="21"/>
                <w:szCs w:val="21"/>
              </w:rPr>
              <w:t>Never reuse a VoP configuration without reviewing it for the new context. Configurations carry embedded assumptions that may be dangerous when context changes.</w:t>
            </w:r>
          </w:p>
        </w:tc>
      </w:tr>
    </w:tbl>
    <w:p>
      <w:pPr>
        <w:pStyle w:val="Normal"/>
        <w:spacing w:before="0" w:after="80"/>
        <w:rPr/>
      </w:pPr>
      <w:r>
        <w:rPr/>
      </w:r>
    </w:p>
    <w:tbl>
      <w:tblPr>
        <w:tblW w:w="9360" w:type="dxa"/>
        <w:jc w:val="start"/>
        <w:tblInd w:w="0" w:type="dxa"/>
        <w:tblLayout w:type="fixed"/>
        <w:tblCellMar>
          <w:top w:w="100" w:type="dxa"/>
          <w:start w:w="120" w:type="dxa"/>
          <w:bottom w:w="100" w:type="dxa"/>
          <w:end w:w="120" w:type="dxa"/>
        </w:tblCellMar>
      </w:tblPr>
      <w:tblGrid>
        <w:gridCol w:w="1309"/>
        <w:gridCol w:w="8051"/>
      </w:tblGrid>
      <w:tr>
        <w:trPr/>
        <w:tc>
          <w:tcPr>
            <w:tcW w:w="1309" w:type="dxa"/>
            <w:tcBorders>
              <w:top w:val="single" w:sz="2" w:space="0" w:color="CCCCCC"/>
              <w:start w:val="single" w:sz="2" w:space="0" w:color="CCCCCC"/>
              <w:bottom w:val="single" w:sz="2" w:space="0" w:color="CCCCCC"/>
              <w:end w:val="single" w:sz="2" w:space="0" w:color="CCCCCC"/>
            </w:tcBorders>
            <w:shd w:fill="1A5C2A" w:val="clear"/>
            <w:vAlign w:val="center"/>
          </w:tcPr>
          <w:p>
            <w:pPr>
              <w:pStyle w:val="Normal"/>
              <w:jc w:val="center"/>
              <w:rPr/>
            </w:pPr>
            <w:r>
              <w:rPr>
                <w:rFonts w:eastAsia="Arial" w:cs="Arial"/>
                <w:b/>
                <w:bCs/>
                <w:color w:val="FFFFFF"/>
                <w:sz w:val="18"/>
                <w:szCs w:val="18"/>
              </w:rPr>
              <w:t>PRINCIPLE 4</w:t>
            </w:r>
          </w:p>
        </w:tc>
        <w:tc>
          <w:tcPr>
            <w:tcW w:w="8051" w:type="dxa"/>
            <w:tcBorders>
              <w:top w:val="single" w:sz="2" w:space="0" w:color="CCCCCC"/>
              <w:start w:val="single" w:sz="2" w:space="0" w:color="CCCCCC"/>
              <w:bottom w:val="single" w:sz="2" w:space="0" w:color="CCCCCC"/>
              <w:end w:val="single" w:sz="2" w:space="0" w:color="CCCCCC"/>
            </w:tcBorders>
            <w:shd w:fill="D5F5E3" w:val="clear"/>
            <w:tcMar>
              <w:start w:w="180" w:type="dxa"/>
            </w:tcMar>
          </w:tcPr>
          <w:p>
            <w:pPr>
              <w:pStyle w:val="Normal"/>
              <w:rPr/>
            </w:pPr>
            <w:r>
              <w:rPr>
                <w:rFonts w:eastAsia="Arial" w:cs="Arial"/>
                <w:i/>
                <w:iCs/>
                <w:color w:val="1A1A1A"/>
                <w:sz w:val="21"/>
                <w:szCs w:val="21"/>
              </w:rPr>
              <w:t>Always list assumptions separately. Assumptions treated as facts are the most common source of VoP-amplified error. They appear confident because the framework makes everything appear structured.</w:t>
            </w:r>
          </w:p>
        </w:tc>
      </w:tr>
    </w:tbl>
    <w:p>
      <w:pPr>
        <w:pStyle w:val="Normal"/>
        <w:spacing w:before="0" w:after="80"/>
        <w:rPr/>
      </w:pPr>
      <w:r>
        <w:rPr/>
      </w:r>
    </w:p>
    <w:tbl>
      <w:tblPr>
        <w:tblW w:w="9355" w:type="dxa"/>
        <w:jc w:val="start"/>
        <w:tblInd w:w="0" w:type="dxa"/>
        <w:tblLayout w:type="fixed"/>
        <w:tblCellMar>
          <w:top w:w="100" w:type="dxa"/>
          <w:start w:w="120" w:type="dxa"/>
          <w:bottom w:w="100" w:type="dxa"/>
          <w:end w:w="120" w:type="dxa"/>
        </w:tblCellMar>
      </w:tblPr>
      <w:tblGrid>
        <w:gridCol w:w="1308"/>
        <w:gridCol w:w="8047"/>
      </w:tblGrid>
      <w:tr>
        <w:trPr/>
        <w:tc>
          <w:tcPr>
            <w:tcW w:w="1308" w:type="dxa"/>
            <w:tcBorders>
              <w:top w:val="single" w:sz="2" w:space="0" w:color="CCCCCC"/>
              <w:start w:val="single" w:sz="2" w:space="0" w:color="CCCCCC"/>
              <w:bottom w:val="single" w:sz="2" w:space="0" w:color="CCCCCC"/>
              <w:end w:val="single" w:sz="2" w:space="0" w:color="CCCCCC"/>
            </w:tcBorders>
            <w:shd w:fill="1A5C2A" w:val="clear"/>
            <w:vAlign w:val="center"/>
          </w:tcPr>
          <w:p>
            <w:pPr>
              <w:pStyle w:val="Normal"/>
              <w:jc w:val="center"/>
              <w:rPr/>
            </w:pPr>
            <w:r>
              <w:rPr>
                <w:rFonts w:eastAsia="Arial" w:cs="Arial"/>
                <w:b/>
                <w:bCs/>
                <w:color w:val="FFFFFF"/>
                <w:sz w:val="18"/>
                <w:szCs w:val="18"/>
              </w:rPr>
              <w:t>PRINCIPLE 5</w:t>
            </w:r>
          </w:p>
        </w:tc>
        <w:tc>
          <w:tcPr>
            <w:tcW w:w="8047" w:type="dxa"/>
            <w:tcBorders>
              <w:top w:val="single" w:sz="2" w:space="0" w:color="CCCCCC"/>
              <w:start w:val="single" w:sz="2" w:space="0" w:color="CCCCCC"/>
              <w:bottom w:val="single" w:sz="2" w:space="0" w:color="CCCCCC"/>
              <w:end w:val="single" w:sz="2" w:space="0" w:color="CCCCCC"/>
            </w:tcBorders>
            <w:shd w:fill="D5F5E3" w:val="clear"/>
            <w:tcMar>
              <w:start w:w="180" w:type="dxa"/>
            </w:tcMar>
          </w:tcPr>
          <w:p>
            <w:pPr>
              <w:pStyle w:val="Normal"/>
              <w:rPr/>
            </w:pPr>
            <w:r>
              <w:rPr>
                <w:rFonts w:eastAsia="Arial" w:cs="Arial"/>
                <w:i/>
                <w:iCs/>
                <w:color w:val="1A1A1A"/>
                <w:sz w:val="21"/>
                <w:szCs w:val="21"/>
              </w:rPr>
              <w:t>Always document. Every session. Every output. Every approval. The toothpick analogy ends with this instruction because documentation is what separates a useful tool from an unaccountable one.</w:t>
            </w:r>
          </w:p>
        </w:tc>
      </w:tr>
    </w:tbl>
    <w:p>
      <w:pPr>
        <w:pStyle w:val="Normal"/>
        <w:spacing w:before="0" w:after="120"/>
        <w:rPr/>
      </w:pPr>
      <w:r>
        <w:rPr/>
      </w:r>
    </w:p>
    <w:p>
      <w:pPr>
        <w:pStyle w:val="Heading1"/>
        <w:shd w:val="clear" w:fill="7B1010"/>
        <w:spacing w:before="360" w:after="160"/>
        <w:ind w:start="180"/>
        <w:rPr/>
      </w:pPr>
      <w:r>
        <w:rPr>
          <w:rFonts w:eastAsia="Arial" w:cs="Arial"/>
          <w:b/>
          <w:bCs/>
          <w:color w:val="FFFFFF"/>
          <w:sz w:val="28"/>
          <w:szCs w:val="28"/>
        </w:rPr>
        <w:t>6.  Summary</w:t>
      </w:r>
    </w:p>
    <w:p>
      <w:pPr>
        <w:pStyle w:val="Normal"/>
        <w:spacing w:before="0" w:after="80"/>
        <w:rPr/>
      </w:pPr>
      <w:r>
        <w:rPr/>
      </w:r>
    </w:p>
    <w:p>
      <w:pPr>
        <w:pStyle w:val="Normal"/>
        <w:spacing w:before="0" w:after="100"/>
        <w:rPr/>
      </w:pPr>
      <w:r>
        <w:rPr>
          <w:rFonts w:eastAsia="Arial" w:cs="Arial"/>
          <w:color w:val="1A1A1A"/>
          <w:sz w:val="22"/>
          <w:szCs w:val="22"/>
        </w:rPr>
        <w:t>VoP is a powerful and genuinely useful framework. Its ability to reduce hallucination, manage cognitive drift, and structure human–AI collaboration represents a meaningful advance in responsible AI interaction.</w:t>
      </w:r>
    </w:p>
    <w:p>
      <w:pPr>
        <w:pStyle w:val="Normal"/>
        <w:spacing w:before="0" w:after="80"/>
        <w:rPr/>
      </w:pPr>
      <w:r>
        <w:rPr/>
      </w:r>
    </w:p>
    <w:p>
      <w:pPr>
        <w:pStyle w:val="Normal"/>
        <w:spacing w:before="0" w:after="100"/>
        <w:rPr/>
      </w:pPr>
      <w:r>
        <w:rPr>
          <w:rFonts w:eastAsia="Arial" w:cs="Arial"/>
          <w:color w:val="1A1A1A"/>
          <w:sz w:val="22"/>
          <w:szCs w:val="22"/>
        </w:rPr>
        <w:t>But the toothpick analogy is correct: universal utility does not mean unconditional safety. The same structural clarity that makes VoP effective at producing reliable outputs also makes it effective at producing reliable harmful outputs if the configuration is wrong, malicious, or careless.</w:t>
      </w:r>
    </w:p>
    <w:p>
      <w:pPr>
        <w:pStyle w:val="Normal"/>
        <w:spacing w:before="0" w:after="80"/>
        <w:rPr/>
      </w:pPr>
      <w:r>
        <w:rPr/>
      </w:r>
    </w:p>
    <w:p>
      <w:pPr>
        <w:pStyle w:val="Normal"/>
        <w:spacing w:before="0" w:after="100"/>
        <w:rPr/>
      </w:pPr>
      <w:r>
        <w:rPr>
          <w:rFonts w:eastAsia="Arial" w:cs="Arial"/>
          <w:color w:val="1A1A1A"/>
          <w:sz w:val="22"/>
          <w:szCs w:val="22"/>
        </w:rPr>
        <w:t>The framework’s answer to this risk is not restriction. It is documentation, validation, human oversight, and the discipline to treat every VoP session as an accountable act rather than a casual interaction.</w:t>
      </w:r>
    </w:p>
    <w:p>
      <w:pPr>
        <w:pStyle w:val="Normal"/>
        <w:spacing w:before="0" w:after="80"/>
        <w:rPr/>
      </w:pPr>
      <w:r>
        <w:rPr/>
      </w:r>
    </w:p>
    <w:tbl>
      <w:tblPr>
        <w:tblW w:w="9360" w:type="dxa"/>
        <w:jc w:val="start"/>
        <w:tblInd w:w="0" w:type="dxa"/>
        <w:tblLayout w:type="fixed"/>
        <w:tblCellMar>
          <w:top w:w="100" w:type="dxa"/>
          <w:start w:w="120" w:type="dxa"/>
          <w:bottom w:w="100" w:type="dxa"/>
          <w:end w:w="120" w:type="dxa"/>
        </w:tblCellMar>
      </w:tblPr>
      <w:tblGrid>
        <w:gridCol w:w="1199"/>
        <w:gridCol w:w="8161"/>
      </w:tblGrid>
      <w:tr>
        <w:trPr/>
        <w:tc>
          <w:tcPr>
            <w:tcW w:w="1199" w:type="dxa"/>
            <w:tcBorders>
              <w:top w:val="single" w:sz="2" w:space="0" w:color="CCCCCC"/>
              <w:start w:val="single" w:sz="2" w:space="0" w:color="CCCCCC"/>
              <w:bottom w:val="single" w:sz="2" w:space="0" w:color="CCCCCC"/>
              <w:end w:val="single" w:sz="2" w:space="0" w:color="CCCCCC"/>
            </w:tcBorders>
            <w:shd w:fill="7B1010" w:val="clear"/>
            <w:vAlign w:val="center"/>
          </w:tcPr>
          <w:p>
            <w:pPr>
              <w:pStyle w:val="Normal"/>
              <w:jc w:val="center"/>
              <w:rPr/>
            </w:pPr>
            <w:r>
              <w:rPr>
                <w:rFonts w:eastAsia="Arial" w:cs="Arial"/>
                <w:b/>
                <w:bCs/>
                <w:color w:val="FFFFFF"/>
                <w:sz w:val="18"/>
                <w:szCs w:val="18"/>
              </w:rPr>
              <w:t>CLOSING RULE</w:t>
            </w:r>
          </w:p>
        </w:tc>
        <w:tc>
          <w:tcPr>
            <w:tcW w:w="8161" w:type="dxa"/>
            <w:tcBorders>
              <w:top w:val="single" w:sz="2" w:space="0" w:color="CCCCCC"/>
              <w:start w:val="single" w:sz="2" w:space="0" w:color="CCCCCC"/>
              <w:bottom w:val="single" w:sz="2" w:space="0" w:color="CCCCCC"/>
              <w:end w:val="single" w:sz="2" w:space="0" w:color="CCCCCC"/>
            </w:tcBorders>
            <w:shd w:fill="FADBD8" w:val="clear"/>
            <w:tcMar>
              <w:start w:w="180" w:type="dxa"/>
            </w:tcMar>
          </w:tcPr>
          <w:p>
            <w:pPr>
              <w:pStyle w:val="Normal"/>
              <w:rPr/>
            </w:pPr>
            <w:r>
              <w:rPr>
                <w:rFonts w:eastAsia="Arial" w:cs="Arial"/>
                <w:i/>
                <w:iCs/>
                <w:color w:val="1A1A1A"/>
                <w:sz w:val="21"/>
                <w:szCs w:val="21"/>
              </w:rPr>
              <w:t>VoP is not responsible because it is structured. It is responsible because the humans using it choose to document it, validate it, and remain accountable for its outputs. The framework provides the structure. Responsibility belongs to the practitioner.</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C0392B"/>
      </w:pBdr>
      <w:spacing w:before="80" w:after="0"/>
      <w:jc w:val="end"/>
      <w:rPr/>
    </w:pPr>
    <w:r>
      <w:rPr>
        <w:rFonts w:eastAsia="Arial" w:cs="Arial"/>
        <w:color w:val="888888"/>
        <w:sz w:val="18"/>
        <w:szCs w:val="18"/>
      </w:rPr>
      <w:t xml:space="preserve">VoP Framework © 2025  |  Page </w:t>
    </w:r>
    <w:r>
      <w:rPr/>
      <w:fldChar w:fldCharType="begin"/>
    </w:r>
    <w:r>
      <w:rPr/>
      <w:instrText xml:space="preserve"> PAGE </w:instrText>
    </w:r>
    <w:r>
      <w:rPr/>
      <w:fldChar w:fldCharType="separate"/>
    </w:r>
    <w:r>
      <w:rPr/>
      <w:t>7</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C0392B"/>
      </w:pBdr>
      <w:spacing w:before="80" w:after="0"/>
      <w:jc w:val="end"/>
      <w:rPr/>
    </w:pPr>
    <w:r>
      <w:rPr>
        <w:rFonts w:eastAsia="Arial" w:cs="Arial"/>
        <w:color w:val="888888"/>
        <w:sz w:val="18"/>
        <w:szCs w:val="18"/>
      </w:rPr>
      <w:t xml:space="preserve">VoP Framework © 2025  |  Page </w:t>
    </w:r>
    <w:r>
      <w:rPr/>
      <w:fldChar w:fldCharType="begin"/>
    </w:r>
    <w:r>
      <w:rPr/>
      <w:instrText xml:space="preserve"> PAGE </w:instrText>
    </w:r>
    <w:r>
      <w:rPr/>
      <w:fldChar w:fldCharType="separate"/>
    </w:r>
    <w:r>
      <w:rPr/>
      <w:t>7</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0392B"/>
      </w:pBdr>
      <w:spacing w:before="0" w:after="80"/>
      <w:rPr/>
    </w:pPr>
    <w:r>
      <w:rPr>
        <w:rFonts w:eastAsia="Arial" w:cs="Arial"/>
        <w:b/>
        <w:bCs/>
        <w:color w:val="C0392B"/>
        <w:sz w:val="18"/>
        <w:szCs w:val="18"/>
      </w:rPr>
      <w:t>VoP Risk &amp; Responsible Use Report</w:t>
    </w:r>
    <w:r>
      <w:rPr>
        <w:rFonts w:eastAsia="Arial" w:cs="Arial"/>
        <w:color w:val="888888"/>
        <w:sz w:val="18"/>
        <w:szCs w:val="18"/>
      </w:rPr>
      <w:t xml:space="preserve">     Confidential Working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0392B"/>
      </w:pBdr>
      <w:spacing w:before="0" w:after="80"/>
      <w:rPr/>
    </w:pPr>
    <w:r>
      <w:rPr>
        <w:rFonts w:eastAsia="Arial" w:cs="Arial"/>
        <w:b/>
        <w:bCs/>
        <w:color w:val="C0392B"/>
        <w:sz w:val="18"/>
        <w:szCs w:val="18"/>
      </w:rPr>
      <w:t>VoP Risk &amp; Responsible Use Report</w:t>
    </w:r>
    <w:r>
      <w:rPr>
        <w:rFonts w:eastAsia="Arial" w:cs="Arial"/>
        <w:color w:val="888888"/>
        <w:sz w:val="18"/>
        <w:szCs w:val="18"/>
      </w:rPr>
      <w:t xml:space="preserve">     Confidential Working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PH"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PH" w:eastAsia="zh-CN" w:bidi="hi-IN"/>
    </w:rPr>
  </w:style>
  <w:style w:type="paragraph" w:styleId="Heading1">
    <w:name w:val="heading 1"/>
    <w:basedOn w:val="Heading"/>
    <w:qFormat/>
    <w:pPr>
      <w:spacing w:before="360" w:after="160"/>
      <w:outlineLvl w:val="0"/>
    </w:pPr>
    <w:rPr>
      <w:rFonts w:ascii="Arial" w:hAnsi="Arial" w:eastAsia="Arial" w:cs="Arial"/>
      <w:b/>
      <w:bCs/>
      <w:color w:val="FFFFFF"/>
      <w:sz w:val="28"/>
      <w:szCs w:val="28"/>
    </w:rPr>
  </w:style>
  <w:style w:type="paragraph" w:styleId="Heading2">
    <w:name w:val="heading 2"/>
    <w:basedOn w:val="Heading"/>
    <w:qFormat/>
    <w:pPr>
      <w:spacing w:before="280" w:after="120"/>
      <w:outlineLvl w:val="1"/>
    </w:pPr>
    <w:rPr>
      <w:rFonts w:ascii="Arial" w:hAnsi="Arial" w:eastAsia="Arial" w:cs="Arial"/>
      <w:b/>
      <w:bCs/>
      <w:color w:val="7B1010"/>
      <w:sz w:val="24"/>
      <w:szCs w:val="24"/>
    </w:rPr>
  </w:style>
  <w:style w:type="paragraph" w:styleId="Heading3">
    <w:name w:val="heading 3"/>
    <w:basedOn w:val="Heading"/>
    <w:qFormat/>
    <w:pPr>
      <w:spacing w:before="200" w:after="80"/>
      <w:outlineLvl w:val="2"/>
    </w:pPr>
    <w:rPr>
      <w:rFonts w:ascii="Arial" w:hAnsi="Arial" w:eastAsia="Arial" w:cs="Arial"/>
      <w:b/>
      <w:bCs/>
      <w:color w:val="C0392B"/>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PH"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PH"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LibreOffice/26.2.3.2$Linux_X86_64 LibreOffice_project/620$Build-2</Application>
  <AppVersion>15.0000</AppVersion>
  <Pages>4</Pages>
  <Words>1668</Words>
  <Characters>10317</Characters>
  <CharactersWithSpaces>11851</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2026-05-31T10:57:26Z</dcterms:created>
  <dc:creator>Un-named</dc:creator>
  <dc:description/>
  <dc:language>en-PH</dc:language>
  <cp:lastModifiedBy/>
  <dcterms:modified xsi:type="dcterms:W3CDTF">2026-05-31T19:55:48Z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