
<file path=[Content_Types].xml><?xml version="1.0" encoding="utf-8"?>
<Types xmlns="http://schemas.openxmlformats.org/package/2006/content-types"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BC4" w:rsidRDefault="00A74BC4" w:rsidP="00A74BC4"/>
    <w:p w:rsidR="00A74BC4" w:rsidRDefault="00A74BC4" w:rsidP="00A74BC4">
      <w:pPr>
        <w:pStyle w:val="Heading2"/>
      </w:pPr>
      <w:r>
        <w:t>East West University</w:t>
      </w:r>
    </w:p>
    <w:p w:rsidR="00A74BC4" w:rsidRDefault="00A74BC4" w:rsidP="00A74BC4">
      <w:pPr>
        <w:pStyle w:val="Heading2"/>
      </w:pPr>
      <w:r>
        <w:t>Department of Computer Science &amp; Engineering</w:t>
      </w:r>
    </w:p>
    <w:p w:rsidR="00A74BC4" w:rsidRDefault="00A74BC4" w:rsidP="00A74BC4">
      <w:pPr>
        <w:pStyle w:val="Heading2"/>
      </w:pPr>
    </w:p>
    <w:p w:rsidR="00A74BC4" w:rsidRDefault="009A459E" w:rsidP="00A74BC4">
      <w:pPr>
        <w:pStyle w:val="Title"/>
        <w:rPr>
          <w:sz w:val="22"/>
        </w:rPr>
      </w:pPr>
      <w:r>
        <w:rPr>
          <w:sz w:val="22"/>
        </w:rPr>
        <w:t>Assignment 3</w:t>
      </w:r>
      <w:r w:rsidR="00A74BC4">
        <w:rPr>
          <w:sz w:val="22"/>
        </w:rPr>
        <w:t>:</w:t>
      </w:r>
    </w:p>
    <w:p w:rsidR="00A74BC4" w:rsidRDefault="00A74BC4" w:rsidP="00A74BC4"/>
    <w:tbl>
      <w:tblPr>
        <w:tblW w:w="5000" w:type="pct"/>
        <w:jc w:val="center"/>
        <w:tblLook w:val="04A0"/>
      </w:tblPr>
      <w:tblGrid>
        <w:gridCol w:w="9576"/>
      </w:tblGrid>
      <w:tr w:rsidR="00A74BC4" w:rsidTr="00A74BC4">
        <w:trPr>
          <w:trHeight w:val="360"/>
          <w:jc w:val="center"/>
        </w:trPr>
        <w:tc>
          <w:tcPr>
            <w:tcW w:w="5000" w:type="pct"/>
            <w:vAlign w:val="center"/>
          </w:tcPr>
          <w:p w:rsidR="00A74BC4" w:rsidRDefault="00A74BC4">
            <w:pPr>
              <w:pStyle w:val="NoSpacing"/>
              <w:spacing w:line="276" w:lineRule="auto"/>
              <w:rPr>
                <w:rFonts w:cstheme="minorBidi"/>
              </w:rPr>
            </w:pPr>
            <w:r>
              <w:t>Course code : CSE245</w:t>
            </w:r>
          </w:p>
          <w:p w:rsidR="00A74BC4" w:rsidRDefault="00A74BC4">
            <w:pPr>
              <w:pStyle w:val="NoSpacing"/>
              <w:spacing w:line="276" w:lineRule="auto"/>
            </w:pPr>
            <w:r>
              <w:t>Course title  : Algorithm</w:t>
            </w:r>
          </w:p>
          <w:p w:rsidR="00A74BC4" w:rsidRDefault="00A74BC4">
            <w:pPr>
              <w:pStyle w:val="NoSpacing"/>
              <w:spacing w:line="276" w:lineRule="auto"/>
            </w:pPr>
            <w:r>
              <w:t>Section          : 3</w:t>
            </w:r>
          </w:p>
          <w:p w:rsidR="00A74BC4" w:rsidRDefault="00A74BC4">
            <w:pPr>
              <w:pStyle w:val="NoSpacing"/>
              <w:spacing w:line="276" w:lineRule="auto"/>
            </w:pPr>
          </w:p>
        </w:tc>
      </w:tr>
      <w:tr w:rsidR="00A74BC4" w:rsidTr="00A74BC4">
        <w:trPr>
          <w:trHeight w:val="360"/>
          <w:jc w:val="center"/>
        </w:trPr>
        <w:sdt>
          <w:sdtPr>
            <w:alias w:val="Author"/>
            <w:id w:val="15524260"/>
            <w:placeholder>
              <w:docPart w:val="3F4DCF012C0D4404839BD63A82F6F776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  <w:hideMark/>
              </w:tcPr>
              <w:p w:rsidR="00A74BC4" w:rsidRDefault="00A74BC4">
                <w:pPr>
                  <w:pStyle w:val="NoSpacing"/>
                  <w:spacing w:line="276" w:lineRule="auto"/>
                </w:pPr>
                <w:proofErr w:type="spellStart"/>
                <w:r>
                  <w:t>Rajashree</w:t>
                </w:r>
                <w:proofErr w:type="spellEnd"/>
                <w:r>
                  <w:t xml:space="preserve"> Roy</w:t>
                </w:r>
              </w:p>
            </w:tc>
          </w:sdtContent>
        </w:sdt>
      </w:tr>
      <w:tr w:rsidR="00A74BC4" w:rsidTr="00A74BC4">
        <w:trPr>
          <w:trHeight w:val="360"/>
          <w:jc w:val="center"/>
        </w:trPr>
        <w:tc>
          <w:tcPr>
            <w:tcW w:w="5000" w:type="pct"/>
            <w:vAlign w:val="center"/>
          </w:tcPr>
          <w:p w:rsidR="00A74BC4" w:rsidRDefault="00A74BC4">
            <w:pPr>
              <w:pStyle w:val="NoSpacing"/>
              <w:spacing w:line="276" w:lineRule="auto"/>
              <w:rPr>
                <w:rFonts w:cstheme="minorBidi"/>
                <w:bCs/>
              </w:rPr>
            </w:pPr>
            <w:r>
              <w:rPr>
                <w:b/>
                <w:bCs/>
              </w:rPr>
              <w:t xml:space="preserve">ID </w:t>
            </w:r>
            <w:r>
              <w:rPr>
                <w:bCs/>
              </w:rPr>
              <w:t xml:space="preserve">       : 2014-3-60-070</w:t>
            </w:r>
          </w:p>
          <w:p w:rsidR="00A74BC4" w:rsidRDefault="00A74BC4">
            <w:pPr>
              <w:pStyle w:val="NoSpacing"/>
              <w:spacing w:line="276" w:lineRule="auto"/>
              <w:rPr>
                <w:bCs/>
              </w:rPr>
            </w:pPr>
          </w:p>
          <w:p w:rsidR="00A74BC4" w:rsidRDefault="00A74BC4">
            <w:pPr>
              <w:pStyle w:val="NoSpacing"/>
              <w:spacing w:line="276" w:lineRule="auto"/>
              <w:rPr>
                <w:bCs/>
              </w:rPr>
            </w:pPr>
          </w:p>
        </w:tc>
      </w:tr>
    </w:tbl>
    <w:p w:rsidR="00A74BC4" w:rsidRDefault="00A74BC4" w:rsidP="00A74BC4"/>
    <w:p w:rsidR="00A74BC4" w:rsidRDefault="00A74BC4" w:rsidP="00A74BC4"/>
    <w:p w:rsidR="00A74BC4" w:rsidRDefault="00A74BC4" w:rsidP="00A74BC4"/>
    <w:p w:rsidR="00AB539C" w:rsidRDefault="00AB539C"/>
    <w:p w:rsidR="00A74BC4" w:rsidRDefault="00A74BC4"/>
    <w:p w:rsidR="00A74BC4" w:rsidRDefault="00A74BC4"/>
    <w:p w:rsidR="00A74BC4" w:rsidRDefault="00A74BC4"/>
    <w:p w:rsidR="00A74BC4" w:rsidRDefault="00A74BC4"/>
    <w:p w:rsidR="00A74BC4" w:rsidRDefault="00A74BC4"/>
    <w:p w:rsidR="00A74BC4" w:rsidRDefault="00A74BC4"/>
    <w:p w:rsidR="00A74BC4" w:rsidRDefault="00A74BC4"/>
    <w:p w:rsidR="00A74BC4" w:rsidRDefault="00A74BC4"/>
    <w:p w:rsidR="00A74BC4" w:rsidRDefault="00A74BC4"/>
    <w:p w:rsidR="00A74BC4" w:rsidRDefault="00A74BC4"/>
    <w:p w:rsidR="009A459E" w:rsidRDefault="009A459E" w:rsidP="009A459E"/>
    <w:p w:rsidR="009A459E" w:rsidRDefault="009A459E" w:rsidP="009A459E"/>
    <w:p w:rsidR="009A459E" w:rsidRDefault="009A459E" w:rsidP="009A459E">
      <w:r>
        <w:object w:dxaOrig="9382" w:dyaOrig="6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15pt;height:319.9pt" o:ole="">
            <v:imagedata r:id="rId4" o:title=""/>
          </v:shape>
          <o:OLEObject Type="Embed" ProgID="Excel.Sheet.12" ShapeID="_x0000_i1025" DrawAspect="Content" ObjectID="_1537261290" r:id="rId5"/>
        </w:object>
      </w:r>
    </w:p>
    <w:p w:rsidR="009A459E" w:rsidRDefault="009A459E" w:rsidP="009A459E"/>
    <w:p w:rsidR="009A459E" w:rsidRDefault="009A459E" w:rsidP="009A459E"/>
    <w:p w:rsidR="00A74BC4" w:rsidRDefault="00A74BC4"/>
    <w:p w:rsidR="009A459E" w:rsidRDefault="009A459E"/>
    <w:p w:rsidR="009A459E" w:rsidRDefault="009A459E"/>
    <w:p w:rsidR="009A459E" w:rsidRDefault="009A459E"/>
    <w:p w:rsidR="009A459E" w:rsidRDefault="009A459E"/>
    <w:p w:rsidR="009A459E" w:rsidRDefault="009A459E"/>
    <w:p w:rsidR="009A459E" w:rsidRDefault="009A459E"/>
    <w:p w:rsidR="009A459E" w:rsidRDefault="009A459E"/>
    <w:p w:rsidR="009A459E" w:rsidRDefault="009A459E"/>
    <w:p w:rsidR="009A459E" w:rsidRDefault="009A459E" w:rsidP="009A459E"/>
    <w:p w:rsidR="009A459E" w:rsidRDefault="009A459E" w:rsidP="009A459E"/>
    <w:p w:rsidR="009A459E" w:rsidRDefault="009A459E" w:rsidP="009A459E">
      <w:r w:rsidRPr="00606100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A459E" w:rsidRDefault="009A459E" w:rsidP="009A459E"/>
    <w:p w:rsidR="009A459E" w:rsidRDefault="009A459E" w:rsidP="009A459E">
      <w:r w:rsidRPr="00606100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A459E" w:rsidRDefault="009A459E" w:rsidP="009A459E"/>
    <w:p w:rsidR="009A459E" w:rsidRDefault="009A459E" w:rsidP="009A459E"/>
    <w:p w:rsidR="009A459E" w:rsidRDefault="009A459E"/>
    <w:sectPr w:rsidR="009A459E" w:rsidSect="00AB5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A74BC4"/>
    <w:rsid w:val="00261437"/>
    <w:rsid w:val="00297032"/>
    <w:rsid w:val="00534BD5"/>
    <w:rsid w:val="009A459E"/>
    <w:rsid w:val="00A74BC4"/>
    <w:rsid w:val="00AB5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BC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B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74B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74B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4B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74BC4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A74BC4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B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package" Target="embeddings/Microsoft_Office_Excel_Worksheet1.xls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m\Desktop\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im\Desktop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tx>
            <c:strRef>
              <c:f>Sheet1!$B$1</c:f>
              <c:strCache>
                <c:ptCount val="1"/>
                <c:pt idx="0">
                  <c:v>Brute-force</c:v>
                </c:pt>
              </c:strCache>
            </c:strRef>
          </c:tx>
          <c:marker>
            <c:symbol val="none"/>
          </c:marker>
          <c:xVal>
            <c:numRef>
              <c:f>Sheet1!$A$2:$A$22</c:f>
              <c:numCache>
                <c:formatCode>General</c:formatCode>
                <c:ptCount val="21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30000</c:v>
                </c:pt>
                <c:pt idx="5">
                  <c:v>40000</c:v>
                </c:pt>
                <c:pt idx="6">
                  <c:v>50000</c:v>
                </c:pt>
                <c:pt idx="7">
                  <c:v>60000</c:v>
                </c:pt>
                <c:pt idx="8">
                  <c:v>70000</c:v>
                </c:pt>
                <c:pt idx="9">
                  <c:v>80000</c:v>
                </c:pt>
                <c:pt idx="10">
                  <c:v>90000</c:v>
                </c:pt>
                <c:pt idx="11">
                  <c:v>100000</c:v>
                </c:pt>
                <c:pt idx="12">
                  <c:v>200000</c:v>
                </c:pt>
                <c:pt idx="13">
                  <c:v>300000</c:v>
                </c:pt>
                <c:pt idx="14">
                  <c:v>400000</c:v>
                </c:pt>
                <c:pt idx="15">
                  <c:v>500000</c:v>
                </c:pt>
                <c:pt idx="16">
                  <c:v>600000</c:v>
                </c:pt>
                <c:pt idx="17">
                  <c:v>700000</c:v>
                </c:pt>
                <c:pt idx="18">
                  <c:v>800000</c:v>
                </c:pt>
                <c:pt idx="19">
                  <c:v>900000</c:v>
                </c:pt>
                <c:pt idx="20">
                  <c:v>1000000</c:v>
                </c:pt>
              </c:numCache>
            </c:numRef>
          </c:xVal>
          <c:yVal>
            <c:numRef>
              <c:f>Sheet1!$B$2:$B$22</c:f>
              <c:numCache>
                <c:formatCode>General</c:formatCode>
                <c:ptCount val="21"/>
                <c:pt idx="0">
                  <c:v>0</c:v>
                </c:pt>
                <c:pt idx="1">
                  <c:v>5.3000000000000012E-2</c:v>
                </c:pt>
                <c:pt idx="2">
                  <c:v>0.16900000000000001</c:v>
                </c:pt>
                <c:pt idx="3">
                  <c:v>0.63100000000000056</c:v>
                </c:pt>
                <c:pt idx="4">
                  <c:v>1.2569999999999988</c:v>
                </c:pt>
                <c:pt idx="5">
                  <c:v>2.2370000000000001</c:v>
                </c:pt>
                <c:pt idx="6">
                  <c:v>3.4929999999999977</c:v>
                </c:pt>
                <c:pt idx="7">
                  <c:v>4.99</c:v>
                </c:pt>
                <c:pt idx="8">
                  <c:v>6.76</c:v>
                </c:pt>
                <c:pt idx="9">
                  <c:v>8.8760000000000048</c:v>
                </c:pt>
                <c:pt idx="10">
                  <c:v>11.207999999999998</c:v>
                </c:pt>
                <c:pt idx="11">
                  <c:v>13.817</c:v>
                </c:pt>
                <c:pt idx="12">
                  <c:v>59.176000000000002</c:v>
                </c:pt>
                <c:pt idx="13">
                  <c:v>134.73099999999999</c:v>
                </c:pt>
                <c:pt idx="14">
                  <c:v>266.54500000000002</c:v>
                </c:pt>
                <c:pt idx="15">
                  <c:v>405.4369999999995</c:v>
                </c:pt>
                <c:pt idx="16">
                  <c:v>600.03</c:v>
                </c:pt>
                <c:pt idx="17">
                  <c:v>849.82999999999947</c:v>
                </c:pt>
                <c:pt idx="18">
                  <c:v>1151.9739999999999</c:v>
                </c:pt>
                <c:pt idx="19">
                  <c:v>1560.3509999999999</c:v>
                </c:pt>
                <c:pt idx="20">
                  <c:v>1906.6989999999998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Divide&amp;Conquer</c:v>
                </c:pt>
              </c:strCache>
            </c:strRef>
          </c:tx>
          <c:marker>
            <c:symbol val="none"/>
          </c:marker>
          <c:xVal>
            <c:numRef>
              <c:f>Sheet1!$A$2:$A$22</c:f>
              <c:numCache>
                <c:formatCode>General</c:formatCode>
                <c:ptCount val="21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30000</c:v>
                </c:pt>
                <c:pt idx="5">
                  <c:v>40000</c:v>
                </c:pt>
                <c:pt idx="6">
                  <c:v>50000</c:v>
                </c:pt>
                <c:pt idx="7">
                  <c:v>60000</c:v>
                </c:pt>
                <c:pt idx="8">
                  <c:v>70000</c:v>
                </c:pt>
                <c:pt idx="9">
                  <c:v>80000</c:v>
                </c:pt>
                <c:pt idx="10">
                  <c:v>90000</c:v>
                </c:pt>
                <c:pt idx="11">
                  <c:v>100000</c:v>
                </c:pt>
                <c:pt idx="12">
                  <c:v>200000</c:v>
                </c:pt>
                <c:pt idx="13">
                  <c:v>300000</c:v>
                </c:pt>
                <c:pt idx="14">
                  <c:v>400000</c:v>
                </c:pt>
                <c:pt idx="15">
                  <c:v>500000</c:v>
                </c:pt>
                <c:pt idx="16">
                  <c:v>600000</c:v>
                </c:pt>
                <c:pt idx="17">
                  <c:v>700000</c:v>
                </c:pt>
                <c:pt idx="18">
                  <c:v>800000</c:v>
                </c:pt>
                <c:pt idx="19">
                  <c:v>900000</c:v>
                </c:pt>
                <c:pt idx="20">
                  <c:v>1000000</c:v>
                </c:pt>
              </c:numCache>
            </c:numRef>
          </c:xVal>
          <c:yVal>
            <c:numRef>
              <c:f>Sheet1!$C$2:$C$22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1.4999999999999998E-2</c:v>
                </c:pt>
                <c:pt idx="5">
                  <c:v>1.4999999999999998E-2</c:v>
                </c:pt>
                <c:pt idx="6">
                  <c:v>0</c:v>
                </c:pt>
                <c:pt idx="7">
                  <c:v>8.0000000000000106E-3</c:v>
                </c:pt>
                <c:pt idx="8">
                  <c:v>2.1000000000000012E-2</c:v>
                </c:pt>
                <c:pt idx="9">
                  <c:v>1.4999999999999998E-2</c:v>
                </c:pt>
                <c:pt idx="10">
                  <c:v>0</c:v>
                </c:pt>
                <c:pt idx="11">
                  <c:v>1.4999999999999998E-2</c:v>
                </c:pt>
                <c:pt idx="12">
                  <c:v>1.7999999999999999E-2</c:v>
                </c:pt>
                <c:pt idx="13">
                  <c:v>4.5999999999999999E-2</c:v>
                </c:pt>
                <c:pt idx="14">
                  <c:v>6.6000000000000003E-2</c:v>
                </c:pt>
                <c:pt idx="15">
                  <c:v>6.9000000000000034E-2</c:v>
                </c:pt>
                <c:pt idx="16">
                  <c:v>7.8000000000000014E-2</c:v>
                </c:pt>
                <c:pt idx="17">
                  <c:v>0.1</c:v>
                </c:pt>
                <c:pt idx="18">
                  <c:v>0.125</c:v>
                </c:pt>
                <c:pt idx="19">
                  <c:v>0.11600000000000002</c:v>
                </c:pt>
                <c:pt idx="20">
                  <c:v>0.13200000000000001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Kadane's</c:v>
                </c:pt>
              </c:strCache>
            </c:strRef>
          </c:tx>
          <c:marker>
            <c:symbol val="none"/>
          </c:marker>
          <c:xVal>
            <c:numRef>
              <c:f>Sheet1!$A$2:$A$22</c:f>
              <c:numCache>
                <c:formatCode>General</c:formatCode>
                <c:ptCount val="21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30000</c:v>
                </c:pt>
                <c:pt idx="5">
                  <c:v>40000</c:v>
                </c:pt>
                <c:pt idx="6">
                  <c:v>50000</c:v>
                </c:pt>
                <c:pt idx="7">
                  <c:v>60000</c:v>
                </c:pt>
                <c:pt idx="8">
                  <c:v>70000</c:v>
                </c:pt>
                <c:pt idx="9">
                  <c:v>80000</c:v>
                </c:pt>
                <c:pt idx="10">
                  <c:v>90000</c:v>
                </c:pt>
                <c:pt idx="11">
                  <c:v>100000</c:v>
                </c:pt>
                <c:pt idx="12">
                  <c:v>200000</c:v>
                </c:pt>
                <c:pt idx="13">
                  <c:v>300000</c:v>
                </c:pt>
                <c:pt idx="14">
                  <c:v>400000</c:v>
                </c:pt>
                <c:pt idx="15">
                  <c:v>500000</c:v>
                </c:pt>
                <c:pt idx="16">
                  <c:v>600000</c:v>
                </c:pt>
                <c:pt idx="17">
                  <c:v>700000</c:v>
                </c:pt>
                <c:pt idx="18">
                  <c:v>800000</c:v>
                </c:pt>
                <c:pt idx="19">
                  <c:v>900000</c:v>
                </c:pt>
                <c:pt idx="20">
                  <c:v>1000000</c:v>
                </c:pt>
              </c:numCache>
            </c:numRef>
          </c:xVal>
          <c:yVal>
            <c:numRef>
              <c:f>Sheet1!$D$2:$D$22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1.6000000000000018E-2</c:v>
                </c:pt>
                <c:pt idx="16">
                  <c:v>1.6000000000000018E-2</c:v>
                </c:pt>
                <c:pt idx="17">
                  <c:v>0</c:v>
                </c:pt>
                <c:pt idx="18">
                  <c:v>0</c:v>
                </c:pt>
                <c:pt idx="19">
                  <c:v>6.0000000000000045E-3</c:v>
                </c:pt>
                <c:pt idx="20">
                  <c:v>6.0000000000000045E-3</c:v>
                </c:pt>
              </c:numCache>
            </c:numRef>
          </c:yVal>
          <c:smooth val="1"/>
        </c:ser>
        <c:axId val="127169280"/>
        <c:axId val="127170816"/>
      </c:scatterChart>
      <c:valAx>
        <c:axId val="127169280"/>
        <c:scaling>
          <c:orientation val="minMax"/>
        </c:scaling>
        <c:axPos val="b"/>
        <c:numFmt formatCode="General" sourceLinked="1"/>
        <c:tickLblPos val="nextTo"/>
        <c:crossAx val="127170816"/>
        <c:crosses val="autoZero"/>
        <c:crossBetween val="midCat"/>
      </c:valAx>
      <c:valAx>
        <c:axId val="127170816"/>
        <c:scaling>
          <c:orientation val="minMax"/>
        </c:scaling>
        <c:axPos val="l"/>
        <c:majorGridlines/>
        <c:numFmt formatCode="General" sourceLinked="1"/>
        <c:tickLblPos val="nextTo"/>
        <c:crossAx val="12716928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lineMarker"/>
        <c:ser>
          <c:idx val="0"/>
          <c:order val="0"/>
          <c:tx>
            <c:strRef>
              <c:f>Sheet1!$B$1</c:f>
              <c:strCache>
                <c:ptCount val="1"/>
                <c:pt idx="0">
                  <c:v>Brute-force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Sheet1!$A$2:$A$22</c:f>
              <c:numCache>
                <c:formatCode>General</c:formatCode>
                <c:ptCount val="21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30000</c:v>
                </c:pt>
                <c:pt idx="5">
                  <c:v>40000</c:v>
                </c:pt>
                <c:pt idx="6">
                  <c:v>50000</c:v>
                </c:pt>
                <c:pt idx="7">
                  <c:v>60000</c:v>
                </c:pt>
                <c:pt idx="8">
                  <c:v>70000</c:v>
                </c:pt>
                <c:pt idx="9">
                  <c:v>80000</c:v>
                </c:pt>
                <c:pt idx="10">
                  <c:v>90000</c:v>
                </c:pt>
                <c:pt idx="11">
                  <c:v>100000</c:v>
                </c:pt>
                <c:pt idx="12">
                  <c:v>200000</c:v>
                </c:pt>
                <c:pt idx="13">
                  <c:v>300000</c:v>
                </c:pt>
                <c:pt idx="14">
                  <c:v>400000</c:v>
                </c:pt>
                <c:pt idx="15">
                  <c:v>500000</c:v>
                </c:pt>
                <c:pt idx="16">
                  <c:v>600000</c:v>
                </c:pt>
                <c:pt idx="17">
                  <c:v>700000</c:v>
                </c:pt>
                <c:pt idx="18">
                  <c:v>800000</c:v>
                </c:pt>
                <c:pt idx="19">
                  <c:v>900000</c:v>
                </c:pt>
                <c:pt idx="20">
                  <c:v>1000000</c:v>
                </c:pt>
              </c:numCache>
            </c:numRef>
          </c:xVal>
          <c:yVal>
            <c:numRef>
              <c:f>Sheet1!$B$2:$B$22</c:f>
              <c:numCache>
                <c:formatCode>General</c:formatCode>
                <c:ptCount val="21"/>
                <c:pt idx="0">
                  <c:v>0</c:v>
                </c:pt>
                <c:pt idx="1">
                  <c:v>5.3000000000000012E-2</c:v>
                </c:pt>
                <c:pt idx="2">
                  <c:v>0.16900000000000001</c:v>
                </c:pt>
                <c:pt idx="3">
                  <c:v>0.63100000000000056</c:v>
                </c:pt>
                <c:pt idx="4">
                  <c:v>1.2569999999999988</c:v>
                </c:pt>
                <c:pt idx="5">
                  <c:v>2.2370000000000001</c:v>
                </c:pt>
                <c:pt idx="6">
                  <c:v>3.4929999999999977</c:v>
                </c:pt>
                <c:pt idx="7">
                  <c:v>4.99</c:v>
                </c:pt>
                <c:pt idx="8">
                  <c:v>6.76</c:v>
                </c:pt>
                <c:pt idx="9">
                  <c:v>8.8760000000000048</c:v>
                </c:pt>
                <c:pt idx="10">
                  <c:v>11.207999999999998</c:v>
                </c:pt>
                <c:pt idx="11">
                  <c:v>13.817</c:v>
                </c:pt>
                <c:pt idx="12">
                  <c:v>59.176000000000002</c:v>
                </c:pt>
                <c:pt idx="13">
                  <c:v>134.73099999999999</c:v>
                </c:pt>
                <c:pt idx="14">
                  <c:v>266.54500000000002</c:v>
                </c:pt>
                <c:pt idx="15">
                  <c:v>405.4369999999995</c:v>
                </c:pt>
                <c:pt idx="16">
                  <c:v>600.03</c:v>
                </c:pt>
                <c:pt idx="17">
                  <c:v>849.82999999999947</c:v>
                </c:pt>
                <c:pt idx="18">
                  <c:v>1151.9739999999999</c:v>
                </c:pt>
                <c:pt idx="19">
                  <c:v>1560.3509999999999</c:v>
                </c:pt>
                <c:pt idx="20">
                  <c:v>1906.6989999999998</c:v>
                </c:pt>
              </c:numCache>
            </c:numRef>
          </c:y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Divide&amp;Conquer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Sheet1!$A$2:$A$22</c:f>
              <c:numCache>
                <c:formatCode>General</c:formatCode>
                <c:ptCount val="21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30000</c:v>
                </c:pt>
                <c:pt idx="5">
                  <c:v>40000</c:v>
                </c:pt>
                <c:pt idx="6">
                  <c:v>50000</c:v>
                </c:pt>
                <c:pt idx="7">
                  <c:v>60000</c:v>
                </c:pt>
                <c:pt idx="8">
                  <c:v>70000</c:v>
                </c:pt>
                <c:pt idx="9">
                  <c:v>80000</c:v>
                </c:pt>
                <c:pt idx="10">
                  <c:v>90000</c:v>
                </c:pt>
                <c:pt idx="11">
                  <c:v>100000</c:v>
                </c:pt>
                <c:pt idx="12">
                  <c:v>200000</c:v>
                </c:pt>
                <c:pt idx="13">
                  <c:v>300000</c:v>
                </c:pt>
                <c:pt idx="14">
                  <c:v>400000</c:v>
                </c:pt>
                <c:pt idx="15">
                  <c:v>500000</c:v>
                </c:pt>
                <c:pt idx="16">
                  <c:v>600000</c:v>
                </c:pt>
                <c:pt idx="17">
                  <c:v>700000</c:v>
                </c:pt>
                <c:pt idx="18">
                  <c:v>800000</c:v>
                </c:pt>
                <c:pt idx="19">
                  <c:v>900000</c:v>
                </c:pt>
                <c:pt idx="20">
                  <c:v>1000000</c:v>
                </c:pt>
              </c:numCache>
            </c:numRef>
          </c:xVal>
          <c:yVal>
            <c:numRef>
              <c:f>Sheet1!$C$2:$C$22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1.4999999999999998E-2</c:v>
                </c:pt>
                <c:pt idx="5">
                  <c:v>1.4999999999999998E-2</c:v>
                </c:pt>
                <c:pt idx="6">
                  <c:v>0</c:v>
                </c:pt>
                <c:pt idx="7">
                  <c:v>8.0000000000000106E-3</c:v>
                </c:pt>
                <c:pt idx="8">
                  <c:v>2.1000000000000012E-2</c:v>
                </c:pt>
                <c:pt idx="9">
                  <c:v>1.4999999999999998E-2</c:v>
                </c:pt>
                <c:pt idx="10">
                  <c:v>0</c:v>
                </c:pt>
                <c:pt idx="11">
                  <c:v>1.4999999999999998E-2</c:v>
                </c:pt>
                <c:pt idx="12">
                  <c:v>1.7999999999999999E-2</c:v>
                </c:pt>
                <c:pt idx="13">
                  <c:v>4.5999999999999999E-2</c:v>
                </c:pt>
                <c:pt idx="14">
                  <c:v>6.6000000000000003E-2</c:v>
                </c:pt>
                <c:pt idx="15">
                  <c:v>6.9000000000000034E-2</c:v>
                </c:pt>
                <c:pt idx="16">
                  <c:v>7.8000000000000014E-2</c:v>
                </c:pt>
                <c:pt idx="17">
                  <c:v>0.1</c:v>
                </c:pt>
                <c:pt idx="18">
                  <c:v>0.125</c:v>
                </c:pt>
                <c:pt idx="19">
                  <c:v>0.11600000000000002</c:v>
                </c:pt>
                <c:pt idx="20">
                  <c:v>0.13200000000000001</c:v>
                </c:pt>
              </c:numCache>
            </c:numRef>
          </c:y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Kadane's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Sheet1!$A$2:$A$22</c:f>
              <c:numCache>
                <c:formatCode>General</c:formatCode>
                <c:ptCount val="21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20000</c:v>
                </c:pt>
                <c:pt idx="4">
                  <c:v>30000</c:v>
                </c:pt>
                <c:pt idx="5">
                  <c:v>40000</c:v>
                </c:pt>
                <c:pt idx="6">
                  <c:v>50000</c:v>
                </c:pt>
                <c:pt idx="7">
                  <c:v>60000</c:v>
                </c:pt>
                <c:pt idx="8">
                  <c:v>70000</c:v>
                </c:pt>
                <c:pt idx="9">
                  <c:v>80000</c:v>
                </c:pt>
                <c:pt idx="10">
                  <c:v>90000</c:v>
                </c:pt>
                <c:pt idx="11">
                  <c:v>100000</c:v>
                </c:pt>
                <c:pt idx="12">
                  <c:v>200000</c:v>
                </c:pt>
                <c:pt idx="13">
                  <c:v>300000</c:v>
                </c:pt>
                <c:pt idx="14">
                  <c:v>400000</c:v>
                </c:pt>
                <c:pt idx="15">
                  <c:v>500000</c:v>
                </c:pt>
                <c:pt idx="16">
                  <c:v>600000</c:v>
                </c:pt>
                <c:pt idx="17">
                  <c:v>700000</c:v>
                </c:pt>
                <c:pt idx="18">
                  <c:v>800000</c:v>
                </c:pt>
                <c:pt idx="19">
                  <c:v>900000</c:v>
                </c:pt>
                <c:pt idx="20">
                  <c:v>1000000</c:v>
                </c:pt>
              </c:numCache>
            </c:numRef>
          </c:xVal>
          <c:yVal>
            <c:numRef>
              <c:f>Sheet1!$D$2:$D$22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1.6000000000000018E-2</c:v>
                </c:pt>
                <c:pt idx="16">
                  <c:v>1.6000000000000018E-2</c:v>
                </c:pt>
                <c:pt idx="17">
                  <c:v>0</c:v>
                </c:pt>
                <c:pt idx="18">
                  <c:v>0</c:v>
                </c:pt>
                <c:pt idx="19">
                  <c:v>6.0000000000000045E-3</c:v>
                </c:pt>
                <c:pt idx="20">
                  <c:v>6.0000000000000045E-3</c:v>
                </c:pt>
              </c:numCache>
            </c:numRef>
          </c:yVal>
        </c:ser>
        <c:axId val="127192064"/>
        <c:axId val="127079168"/>
      </c:scatterChart>
      <c:valAx>
        <c:axId val="127192064"/>
        <c:scaling>
          <c:orientation val="minMax"/>
        </c:scaling>
        <c:axPos val="b"/>
        <c:numFmt formatCode="General" sourceLinked="1"/>
        <c:tickLblPos val="nextTo"/>
        <c:crossAx val="127079168"/>
        <c:crosses val="autoZero"/>
        <c:crossBetween val="midCat"/>
      </c:valAx>
      <c:valAx>
        <c:axId val="127079168"/>
        <c:scaling>
          <c:orientation val="minMax"/>
        </c:scaling>
        <c:axPos val="l"/>
        <c:majorGridlines/>
        <c:numFmt formatCode="General" sourceLinked="1"/>
        <c:tickLblPos val="nextTo"/>
        <c:crossAx val="12719206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4DCF012C0D4404839BD63A82F6F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87EEA-9607-4A2F-9CB7-049E412BB3F3}"/>
      </w:docPartPr>
      <w:docPartBody>
        <w:p w:rsidR="00044759" w:rsidRDefault="00CB318D" w:rsidP="00CB318D">
          <w:pPr>
            <w:pStyle w:val="3F4DCF012C0D4404839BD63A82F6F776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B318D"/>
    <w:rsid w:val="00044759"/>
    <w:rsid w:val="00CB318D"/>
    <w:rsid w:val="00F97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4DCF012C0D4404839BD63A82F6F776">
    <w:name w:val="3F4DCF012C0D4404839BD63A82F6F776"/>
    <w:rsid w:val="00CB318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Rajashree Roy</dc:creator>
  <cp:lastModifiedBy>Rajashree Roy</cp:lastModifiedBy>
  <cp:revision>2</cp:revision>
  <dcterms:created xsi:type="dcterms:W3CDTF">2016-10-03T06:14:00Z</dcterms:created>
  <dcterms:modified xsi:type="dcterms:W3CDTF">2016-10-06T06:15:00Z</dcterms:modified>
</cp:coreProperties>
</file>