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line="276" w:lineRule="auto"/>
        <w:jc w:val="center"/>
      </w:pPr>
      <w:r>
        <w:rPr>
          <w:rFonts w:ascii="Times New Roman" w:hAnsi="Times New Roman" w:eastAsia="Times New Roman"/>
          <w:b/>
          <w:i w:val="0"/>
          <w:color w:val="1B365D"/>
          <w:sz w:val="32"/>
        </w:rPr>
        <w:t>FEDERAL UNIVERSITY OF TECHNOLOGY, OWERRI</w:t>
      </w:r>
    </w:p>
    <w:p>
      <w:pPr>
        <w:spacing w:after="0" w:before="0" w:line="276" w:lineRule="auto"/>
        <w:jc w:val="center"/>
      </w:pPr>
      <w:r>
        <w:rPr>
          <w:rFonts w:ascii="Times New Roman" w:hAnsi="Times New Roman" w:eastAsia="Times New Roman"/>
          <w:b/>
          <w:i w:val="0"/>
          <w:color w:val="5C6570"/>
          <w:sz w:val="22"/>
        </w:rPr>
        <w:t>CENTRE OF EXCELLENCE IN SUSTAINABLE PROCUREMENT,</w:t>
      </w:r>
    </w:p>
    <w:p>
      <w:pPr>
        <w:spacing w:after="120" w:before="0" w:line="276" w:lineRule="auto"/>
        <w:jc w:val="center"/>
      </w:pPr>
      <w:r>
        <w:rPr>
          <w:rFonts w:ascii="Times New Roman" w:hAnsi="Times New Roman" w:eastAsia="Times New Roman"/>
          <w:b/>
          <w:i w:val="0"/>
          <w:color w:val="5C6570"/>
          <w:sz w:val="22"/>
        </w:rPr>
        <w:t>ENVIRONMENTAL AND SOCIAL STANDARDS (CE-sPESS)</w:t>
      </w:r>
    </w:p>
    <w:p>
      <w:pPr>
        <w:spacing w:after="40" w:before="0" w:line="276" w:lineRule="auto"/>
        <w:jc w:val="center"/>
      </w:pPr>
      <w:r>
        <w:rPr>
          <w:rFonts w:ascii="Times New Roman" w:hAnsi="Times New Roman" w:eastAsia="Times New Roman"/>
          <w:b/>
          <w:i w:val="0"/>
          <w:color w:val="2B2B2B"/>
          <w:sz w:val="22"/>
        </w:rPr>
        <w:t>SCHOOL OF MANAGEMENT TECHNOLOGY</w:t>
      </w:r>
    </w:p>
    <w:p>
      <w:pPr>
        <w:spacing w:after="200" w:before="0" w:line="276" w:lineRule="auto"/>
        <w:jc w:val="center"/>
      </w:pPr>
      <w:r>
        <w:rPr>
          <w:rFonts w:ascii="Times New Roman" w:hAnsi="Times New Roman" w:eastAsia="Times New Roman"/>
          <w:b/>
          <w:i w:val="0"/>
          <w:color w:val="2B2B2B"/>
          <w:sz w:val="24"/>
        </w:rPr>
        <w:t>M.Sc. PROCUREMENT MANAGEMENT</w:t>
      </w:r>
    </w:p>
    <w:p>
      <w:pPr>
        <w:spacing w:after="120" w:before="0" w:line="276" w:lineRule="auto"/>
        <w:jc w:val="center"/>
      </w:pPr>
      <w:r>
        <w:rPr>
          <w:rFonts w:ascii="Times New Roman" w:hAnsi="Times New Roman" w:eastAsia="Times New Roman"/>
          <w:b/>
          <w:i w:val="0"/>
          <w:color w:val="8B6914"/>
          <w:sz w:val="26"/>
        </w:rPr>
        <w:t>PRM 803: CONTRACT LAW AND ALTERNATIVE DISPUTE RESOLUTION</w:t>
      </w:r>
    </w:p>
    <w:p>
      <w:pPr>
        <w:spacing w:after="40" w:before="0" w:line="276" w:lineRule="auto"/>
        <w:jc w:val="center"/>
      </w:pPr>
      <w:r>
        <w:rPr>
          <w:rFonts w:ascii="Times New Roman" w:hAnsi="Times New Roman" w:eastAsia="Times New Roman"/>
          <w:b w:val="0"/>
          <w:i/>
          <w:color w:val="2B2B2B"/>
          <w:sz w:val="24"/>
        </w:rPr>
        <w:t>Problem-based assignment: Weeks 6 to 8</w:t>
      </w:r>
    </w:p>
    <w:p>
      <w:pPr>
        <w:spacing w:after="280" w:before="0" w:line="276" w:lineRule="auto"/>
        <w:jc w:val="center"/>
      </w:pPr>
      <w:r>
        <w:rPr>
          <w:rFonts w:ascii="Times New Roman" w:hAnsi="Times New Roman" w:eastAsia="Times New Roman"/>
          <w:b w:val="0"/>
          <w:i/>
          <w:color w:val="5C6570"/>
          <w:sz w:val="22"/>
        </w:rPr>
        <w:t>ADR, negotiation, mediation, ENE, ethics, settlement and expert determination</w:t>
      </w:r>
    </w:p>
    <w:p>
      <w:pPr>
        <w:spacing w:after="80" w:before="0" w:line="276" w:lineRule="auto"/>
        <w:jc w:val="left"/>
      </w:pPr>
      <w:r>
        <w:rPr>
          <w:rFonts w:ascii="Times New Roman" w:hAnsi="Times New Roman" w:eastAsia="Times New Roman"/>
          <w:b w:val="0"/>
          <w:i w:val="0"/>
          <w:color w:val="2B2B2B"/>
          <w:sz w:val="24"/>
        </w:rPr>
        <w:t>Student name: ______________________________________</w:t>
      </w:r>
    </w:p>
    <w:p>
      <w:pPr>
        <w:spacing w:after="80" w:before="0" w:line="276" w:lineRule="auto"/>
        <w:jc w:val="left"/>
      </w:pPr>
      <w:r>
        <w:rPr>
          <w:rFonts w:ascii="Times New Roman" w:hAnsi="Times New Roman" w:eastAsia="Times New Roman"/>
          <w:b w:val="0"/>
          <w:i w:val="0"/>
          <w:color w:val="2B2B2B"/>
          <w:sz w:val="24"/>
        </w:rPr>
        <w:t>Matriculation number: ______________________________</w:t>
      </w:r>
    </w:p>
    <w:p>
      <w:pPr>
        <w:spacing w:after="200" w:before="0" w:line="276" w:lineRule="auto"/>
        <w:jc w:val="left"/>
      </w:pPr>
      <w:r>
        <w:rPr>
          <w:rFonts w:ascii="Times New Roman" w:hAnsi="Times New Roman" w:eastAsia="Times New Roman"/>
          <w:b w:val="0"/>
          <w:i w:val="0"/>
          <w:color w:val="2B2B2B"/>
          <w:sz w:val="24"/>
        </w:rPr>
        <w:t>Mode: Individual assignment</w:t>
      </w:r>
    </w:p>
    <w:p>
      <w:pPr>
        <w:spacing w:after="160" w:before="0" w:line="276" w:lineRule="auto"/>
        <w:jc w:val="both"/>
      </w:pPr>
      <w:r>
        <w:rPr>
          <w:rFonts w:ascii="Times New Roman" w:hAnsi="Times New Roman" w:eastAsia="Times New Roman"/>
          <w:b w:val="0"/>
          <w:i w:val="0"/>
          <w:color w:val="2B2B2B"/>
          <w:sz w:val="24"/>
        </w:rPr>
        <w:t>This paper advises a professional procurement organisation that must manage contractual risk on a State-owned university project. ADR is treated as a procurement and contract-management tool, not as a free-standing legal theory. Week 6 supplies diagnosis, mechanism choice, BATNA, WATNA, ZOPA and principled negotiation. Weeks 7 and 8 supply ethics, settlement drafting, expert determination and the FAIR test. Legal propositions rest on the Arbitration and Mediation Act 2023 and the Public Procurement Act 2007. Ethical duty, commercial judgment and legal requirement are kept distinct throughout.</w:t>
      </w:r>
    </w:p>
    <w:p>
      <w:pPr>
        <w:spacing w:before="320" w:after="160"/>
        <w:ind w:firstLine="0"/>
        <w:jc w:val="left"/>
        <w:pBdr>
          <w:bottom w:val="single" w:sz="12" w:space="4" w:color="1B365D"/>
        </w:pBdr>
      </w:pPr>
      <w:r>
        <w:rPr>
          <w:rFonts w:ascii="Times New Roman" w:hAnsi="Times New Roman" w:eastAsia="Times New Roman"/>
          <w:b/>
          <w:i w:val="0"/>
          <w:color w:val="1B365D"/>
          <w:sz w:val="28"/>
        </w:rPr>
        <w:t>QUESTION 1. Understanding and diagnosing the dispute</w:t>
      </w:r>
    </w:p>
    <w:p>
      <w:pPr>
        <w:spacing w:before="240" w:after="160"/>
        <w:ind w:firstLine="0"/>
        <w:jc w:val="left"/>
      </w:pPr>
      <w:r>
        <w:rPr>
          <w:rFonts w:ascii="Times New Roman" w:hAnsi="Times New Roman" w:eastAsia="Times New Roman"/>
          <w:b/>
          <w:i w:val="0"/>
          <w:color w:val="8B6914"/>
          <w:sz w:val="26"/>
        </w:rPr>
        <w:t>A. Problem-based question</w:t>
      </w:r>
    </w:p>
    <w:p>
      <w:pPr>
        <w:spacing w:after="160" w:before="0" w:line="276" w:lineRule="auto"/>
        <w:ind w:firstLine="425"/>
        <w:jc w:val="both"/>
      </w:pPr>
      <w:r>
        <w:rPr>
          <w:rFonts w:ascii="Times New Roman" w:hAnsi="Times New Roman" w:eastAsia="Times New Roman"/>
          <w:b w:val="0"/>
          <w:i w:val="0"/>
          <w:color w:val="2B2B2B"/>
          <w:sz w:val="24"/>
        </w:rPr>
        <w:t>Week 6 opens with a warning that is easy to ignore and expensive to ignore: a university construction claim is at once a procurement problem, a contract problem, a project-management problem, a financial problem and a potential legal dispute. Alpha Construction Ltd is eighteen months into a twenty-four month, N2 billion design-and-build academic complex. It claims about N450 million. The university contests entitlement. The building is unfinished. Two integrity failures have already occurred. Diagnosis is therefore the first professional act, because mechanism follows problem-type.</w:t>
      </w:r>
    </w:p>
    <w:p>
      <w:pPr>
        <w:pStyle w:val="ListBullet"/>
        <w:spacing w:after="80" w:before="0" w:line="276" w:lineRule="auto"/>
        <w:ind w:left="709" w:hanging="227"/>
      </w:pPr>
      <w:r>
        <w:rPr>
          <w:rFonts w:ascii="Times New Roman" w:hAnsi="Times New Roman" w:eastAsia="Times New Roman"/>
          <w:b w:val="0"/>
          <w:i w:val="0"/>
          <w:color w:val="2B2B2B"/>
          <w:sz w:val="24"/>
        </w:rPr>
        <w:t>Factual issues: whether particular variation instructions were given; whether contractual notices were served in time; whether the alleged delay events occurred; and the physical condition of works said to be defective.</w:t>
      </w:r>
    </w:p>
    <w:p>
      <w:pPr>
        <w:pStyle w:val="ListBullet"/>
        <w:spacing w:after="80" w:before="0" w:line="276" w:lineRule="auto"/>
        <w:ind w:left="709" w:hanging="227"/>
      </w:pPr>
      <w:r>
        <w:rPr>
          <w:rFonts w:ascii="Times New Roman" w:hAnsi="Times New Roman" w:eastAsia="Times New Roman"/>
          <w:b w:val="0"/>
          <w:i w:val="0"/>
          <w:color w:val="2B2B2B"/>
          <w:sz w:val="24"/>
        </w:rPr>
        <w:t>Technical issues: allocation of design risk on a design-and-build package; programming and critical-path causation of delay; and technical compliance of the works.</w:t>
      </w:r>
    </w:p>
    <w:p>
      <w:pPr>
        <w:pStyle w:val="ListBullet"/>
        <w:spacing w:after="80" w:before="0" w:line="276" w:lineRule="auto"/>
        <w:ind w:left="709" w:hanging="227"/>
      </w:pPr>
      <w:r>
        <w:rPr>
          <w:rFonts w:ascii="Times New Roman" w:hAnsi="Times New Roman" w:eastAsia="Times New Roman"/>
          <w:b w:val="0"/>
          <w:i w:val="0"/>
          <w:color w:val="2B2B2B"/>
          <w:sz w:val="24"/>
        </w:rPr>
        <w:t>Valuation issues: measurement of variations claimed at N200 million against an internal assessment of about N150 million; rates for additional materials of N80 million; and the methodology for loss and expense of N70 million. These are the measurement and valuation controversies listed in Week 6.</w:t>
      </w:r>
    </w:p>
    <w:p>
      <w:pPr>
        <w:pStyle w:val="ListBullet"/>
        <w:spacing w:after="80" w:before="0" w:line="276" w:lineRule="auto"/>
        <w:ind w:left="709" w:hanging="227"/>
      </w:pPr>
      <w:r>
        <w:rPr>
          <w:rFonts w:ascii="Times New Roman" w:hAnsi="Times New Roman" w:eastAsia="Times New Roman"/>
          <w:b w:val="0"/>
          <w:i w:val="0"/>
          <w:color w:val="2B2B2B"/>
          <w:sz w:val="24"/>
        </w:rPr>
        <w:t>Contractual and legal issues: who had authority to instruct extras; whether notice was a condition precedent; concurrent delay and extension of time; and whether defects cut down or extinguish entitlement.</w:t>
      </w:r>
    </w:p>
    <w:p>
      <w:pPr>
        <w:pStyle w:val="ListBullet"/>
        <w:spacing w:after="80" w:before="0" w:line="276" w:lineRule="auto"/>
        <w:ind w:left="709" w:hanging="227"/>
      </w:pPr>
      <w:r>
        <w:rPr>
          <w:rFonts w:ascii="Times New Roman" w:hAnsi="Times New Roman" w:eastAsia="Times New Roman"/>
          <w:b w:val="0"/>
          <w:i w:val="0"/>
          <w:color w:val="2B2B2B"/>
          <w:sz w:val="24"/>
        </w:rPr>
        <w:t>Commercial and relationship issues: six months of work remain. Termination risk, programme risk and institutional reputation sit beside the money. The parties still have to occupy the same site.</w:t>
      </w:r>
    </w:p>
    <w:p>
      <w:pPr>
        <w:pStyle w:val="ListBullet"/>
        <w:spacing w:after="80" w:before="0" w:line="276" w:lineRule="auto"/>
        <w:ind w:left="709" w:hanging="227"/>
      </w:pPr>
      <w:r>
        <w:rPr>
          <w:rFonts w:ascii="Times New Roman" w:hAnsi="Times New Roman" w:eastAsia="Times New Roman"/>
          <w:b w:val="0"/>
          <w:i w:val="0"/>
          <w:color w:val="2B2B2B"/>
          <w:sz w:val="24"/>
        </w:rPr>
        <w:t>Ethical and procurement issues: the Managing Director's private statement that the Procurement Manager would be 'properly taken care of'; the manager's failure to report that approach; disclosure of the confidential internal valuation; and the mediator's prior consultancy to Alpha. Week 6 already lists corruption, conflict of interest and breach of confidentiality as typical procurement disputes.</w:t>
      </w:r>
    </w:p>
    <w:p>
      <w:pPr>
        <w:spacing w:after="160" w:before="0" w:line="276" w:lineRule="auto"/>
        <w:ind w:firstLine="425"/>
        <w:jc w:val="both"/>
      </w:pPr>
      <w:r>
        <w:rPr>
          <w:rFonts w:ascii="Times New Roman" w:hAnsi="Times New Roman" w:eastAsia="Times New Roman"/>
          <w:b w:val="0"/>
          <w:i w:val="0"/>
          <w:color w:val="2B2B2B"/>
          <w:sz w:val="24"/>
        </w:rPr>
        <w:t>Diagnosis matters because the lecture's rule is to match the process to the controversy. Valuation of authorised extras is the classic expert-determination question. Entitlement under a notice clause is legal. Relationship preservation points to negotiation or mediation. Unrealistic optimism may justify early neutral evaluation. Binding adjudication, if still required, is arbitration. An inducement is not an ADR question at all. It is a governance and possibly criminal question under the Public Procurement Act 2007. If management treats N450 million as one 'case', it will skip the cheap filters, choose a favourite profession's tool, and walk into arbitration while the roof is still open.</w:t>
      </w:r>
    </w:p>
    <w:p>
      <w:pPr>
        <w:spacing w:before="240" w:after="160"/>
        <w:ind w:firstLine="0"/>
        <w:jc w:val="left"/>
      </w:pPr>
      <w:r>
        <w:rPr>
          <w:rFonts w:ascii="Times New Roman" w:hAnsi="Times New Roman" w:eastAsia="Times New Roman"/>
          <w:b/>
          <w:i w:val="0"/>
          <w:color w:val="8B6914"/>
          <w:sz w:val="26"/>
        </w:rPr>
        <w:t>B. Theoretical question</w:t>
      </w:r>
    </w:p>
    <w:p>
      <w:pPr>
        <w:spacing w:after="160" w:before="0" w:line="276" w:lineRule="auto"/>
        <w:ind w:firstLine="425"/>
        <w:jc w:val="both"/>
      </w:pPr>
      <w:r>
        <w:rPr>
          <w:rFonts w:ascii="Times New Roman" w:hAnsi="Times New Roman" w:eastAsia="Times New Roman"/>
          <w:b w:val="0"/>
          <w:i w:val="0"/>
          <w:color w:val="2B2B2B"/>
          <w:sz w:val="24"/>
        </w:rPr>
        <w:t>Week 6 defines Alternative Dispute Resolution as the processes through which parties attempt to resolve disputes outside conventional court litigation, with or without a neutral third party. The word 'alternative' historically meant alternative to court. Modern scholarship treats ADR as part of a broader dispute-resolution system. Courts may still enforce settlements, support arbitration, grant interim relief, decide jurisdiction and review awards within statutory limits. ADR reduces dependence on litigation. It does not abolish the legal system.</w:t>
      </w:r>
    </w:p>
    <w:p>
      <w:pPr>
        <w:spacing w:after="160" w:before="0" w:line="276" w:lineRule="auto"/>
        <w:ind w:firstLine="425"/>
        <w:jc w:val="both"/>
      </w:pPr>
      <w:r>
        <w:rPr>
          <w:rFonts w:ascii="Times New Roman" w:hAnsi="Times New Roman" w:eastAsia="Times New Roman"/>
          <w:b w:val="0"/>
          <w:i w:val="0"/>
          <w:color w:val="2B2B2B"/>
          <w:sz w:val="24"/>
        </w:rPr>
        <w:t>The principal objectives are to resolve the dispute, protect interests, preserve relationships, manage cost and delay, and create workable commercial options. In public procurement a further objective is legality. A dispute-resolution process cannot lawfully be used to conceal corruption, evade procurement rules, bypass delegated authority or improperly disclose confidential information. Characteristics include flexibility, party autonomy (highest at the negotiation end of the continuum), confidentiality as a general rule, access to professional competence, and a range of binding effects depending on the process chosen.</w:t>
      </w:r>
    </w:p>
    <w:p>
      <w:pPr>
        <w:spacing w:after="160" w:before="0" w:line="276" w:lineRule="auto"/>
        <w:ind w:firstLine="425"/>
        <w:jc w:val="both"/>
      </w:pPr>
      <w:r>
        <w:rPr>
          <w:rFonts w:ascii="Times New Roman" w:hAnsi="Times New Roman" w:eastAsia="Times New Roman"/>
          <w:b w:val="0"/>
          <w:i w:val="0"/>
          <w:color w:val="2B2B2B"/>
          <w:sz w:val="24"/>
        </w:rPr>
        <w:t>Compared with litigation, ADR is generally more flexible in procedure and remedy, often cheaper and quicker if well managed, more private, and better at preserving cooperation on a live campus. Party autonomy is high in negotiation and mediation and lower once an expert or tribunal decides. Expertise can be built into the process rather than hoped for from a generalist bench. Enforceability is no longer ADR's historic weakness. The Arbitration and Mediation Act 2023 is the current Nigerian statute for arbitration and for mediation, including confidentiality and the enforceability of written settlements. Litigation remains stronger on compelled evidence, public precedent and coercive interim relief. Those strengths rarely justify opening with a writ while students are waiting for a building. The Public Procurement Act 2007 remains relevant at every comparison point because ADR is an alternative to litigation, not an alternative to procurement law.</w:t>
      </w:r>
    </w:p>
    <w:p>
      <w:pPr>
        <w:spacing w:before="320" w:after="160"/>
        <w:ind w:firstLine="0"/>
        <w:jc w:val="left"/>
        <w:pBdr>
          <w:bottom w:val="single" w:sz="12" w:space="4" w:color="1B365D"/>
        </w:pBdr>
      </w:pPr>
      <w:r>
        <w:rPr>
          <w:rFonts w:ascii="Times New Roman" w:hAnsi="Times New Roman" w:eastAsia="Times New Roman"/>
          <w:b/>
          <w:i w:val="0"/>
          <w:color w:val="1B365D"/>
          <w:sz w:val="28"/>
        </w:rPr>
        <w:t>QUESTION 2. Choosing the appropriate ADR mechanism</w:t>
      </w:r>
    </w:p>
    <w:p>
      <w:pPr>
        <w:spacing w:before="240" w:after="160"/>
        <w:ind w:firstLine="0"/>
        <w:jc w:val="left"/>
      </w:pPr>
      <w:r>
        <w:rPr>
          <w:rFonts w:ascii="Times New Roman" w:hAnsi="Times New Roman" w:eastAsia="Times New Roman"/>
          <w:b/>
          <w:i w:val="0"/>
          <w:color w:val="8B6914"/>
          <w:sz w:val="26"/>
        </w:rPr>
        <w:t>A. Problem-based question</w:t>
      </w:r>
    </w:p>
    <w:p>
      <w:pPr>
        <w:spacing w:after="160" w:before="0" w:line="276" w:lineRule="auto"/>
        <w:ind w:firstLine="425"/>
        <w:jc w:val="both"/>
      </w:pPr>
      <w:r>
        <w:rPr>
          <w:rFonts w:ascii="Times New Roman" w:hAnsi="Times New Roman" w:eastAsia="Times New Roman"/>
          <w:b w:val="0"/>
          <w:i w:val="0"/>
          <w:color w:val="2B2B2B"/>
          <w:sz w:val="24"/>
        </w:rPr>
        <w:t>The lecture rule is to match the mechanism to the dispute rather than choose a process because it is familiar. ADR is a continuum from party-controlled processes to third-party adjudication. The four professional recommendations sit at different points on that continuum and should not be treated as rivals.</w:t>
      </w:r>
    </w:p>
    <w:p>
      <w:pPr>
        <w:spacing w:after="160" w:before="0" w:line="276" w:lineRule="auto"/>
        <w:ind w:firstLine="425"/>
        <w:jc w:val="both"/>
      </w:pPr>
      <w:r>
        <w:rPr>
          <w:rFonts w:ascii="Times New Roman" w:hAnsi="Times New Roman" w:eastAsia="Times New Roman"/>
          <w:b w:val="0"/>
          <w:i w:val="0"/>
          <w:color w:val="2B2B2B"/>
          <w:sz w:val="24"/>
        </w:rPr>
        <w:t>Negotiation, recommended by the Procurement Manager, is direct communication seeking an agreed outcome. Its objectives include resolution, protection of interests, relationship, cost control and workable options. It is the correct first consensual step. It is presently unsafe in the present manager's hands because that officer leaked a confidential valuation and failed to report an inducement. Informed consent and authority are also in issue: a procurement officer may have authority to negotiate but lack authority to approve a final settlement.</w:t>
      </w:r>
    </w:p>
    <w:p>
      <w:pPr>
        <w:spacing w:after="160" w:before="0" w:line="276" w:lineRule="auto"/>
        <w:ind w:firstLine="425"/>
        <w:jc w:val="both"/>
      </w:pPr>
      <w:r>
        <w:rPr>
          <w:rFonts w:ascii="Times New Roman" w:hAnsi="Times New Roman" w:eastAsia="Times New Roman"/>
          <w:b w:val="0"/>
          <w:i w:val="0"/>
          <w:color w:val="2B2B2B"/>
          <w:sz w:val="24"/>
        </w:rPr>
        <w:t>Mediation, recommended by the Project Manager, is facilitated negotiation. The mediator assists communication, explores interests and helps the parties develop options, but does not ordinarily impose a decision. The Project Manager's rationale is commercially sound. The parties still have to finish a building together. AMA 2023 supplies confidentiality rules and a path to an enforceable settlement.</w:t>
      </w:r>
    </w:p>
    <w:p>
      <w:pPr>
        <w:spacing w:after="160" w:before="0" w:line="276" w:lineRule="auto"/>
        <w:ind w:firstLine="425"/>
        <w:jc w:val="both"/>
      </w:pPr>
      <w:r>
        <w:rPr>
          <w:rFonts w:ascii="Times New Roman" w:hAnsi="Times New Roman" w:eastAsia="Times New Roman"/>
          <w:b w:val="0"/>
          <w:i w:val="0"/>
          <w:color w:val="2B2B2B"/>
          <w:sz w:val="24"/>
        </w:rPr>
        <w:t>Expert determination, recommended by the Quantity Surveyor, applies specialist competence to a defined valuation question. It is the correct instrument for the quantum of authorised variations once entitlement is isolated. Standing alone it will not resolve notice, concurrency, defects or the working relationship.</w:t>
      </w:r>
    </w:p>
    <w:p>
      <w:pPr>
        <w:spacing w:after="160" w:before="0" w:line="276" w:lineRule="auto"/>
        <w:ind w:firstLine="425"/>
        <w:jc w:val="both"/>
      </w:pPr>
      <w:r>
        <w:rPr>
          <w:rFonts w:ascii="Times New Roman" w:hAnsi="Times New Roman" w:eastAsia="Times New Roman"/>
          <w:b w:val="0"/>
          <w:i w:val="0"/>
          <w:color w:val="2B2B2B"/>
          <w:sz w:val="24"/>
        </w:rPr>
        <w:t>Arbitration, recommended by the Legal Adviser, is formal adjudication ending in an award. It is the proper backstop if consensual and specialist processes fail, if a limitation or notice clock forces action, or if a binding determination of legal entitlement is required. Opening with it now would be disproportionate on a live site.</w:t>
      </w:r>
    </w:p>
    <w:p>
      <w:pPr>
        <w:spacing w:after="160" w:before="0" w:line="276" w:lineRule="auto"/>
        <w:ind w:firstLine="425"/>
        <w:jc w:val="both"/>
      </w:pPr>
      <w:r>
        <w:rPr>
          <w:rFonts w:ascii="Times New Roman" w:hAnsi="Times New Roman" w:eastAsia="Times New Roman"/>
          <w:b w:val="0"/>
          <w:i w:val="0"/>
          <w:color w:val="2B2B2B"/>
          <w:sz w:val="24"/>
        </w:rPr>
        <w:t>Recommended combination: (1) remove the compromised manager and report the approach today; (2) a short without-prejudice negotiation by a clean team inside a written authority envelope; (3) if unsettled, mediation of the whole dispute before a replacement independent mediator unless informed consent to the present mediator is obtained; (4) refer only the quantum of authorised variations to an independent quantity surveyor; (5) hold arbitration in reserve for residual legal issues. That sequence respects urgency, relationship, cost, binding effect and the contractual framework, and it keeps ethics off the negotiating table.</w:t>
      </w:r>
    </w:p>
    <w:p>
      <w:pPr>
        <w:spacing w:before="240" w:after="160"/>
        <w:ind w:firstLine="0"/>
        <w:jc w:val="left"/>
      </w:pPr>
      <w:r>
        <w:rPr>
          <w:rFonts w:ascii="Times New Roman" w:hAnsi="Times New Roman" w:eastAsia="Times New Roman"/>
          <w:b/>
          <w:i w:val="0"/>
          <w:color w:val="8B6914"/>
          <w:sz w:val="26"/>
        </w:rPr>
        <w:t>B. Theoretical question</w:t>
      </w:r>
    </w:p>
    <w:p>
      <w:pPr>
        <w:spacing w:after="160" w:before="0" w:line="276" w:lineRule="auto"/>
        <w:ind w:firstLine="425"/>
        <w:jc w:val="both"/>
      </w:pPr>
      <w:r>
        <w:rPr>
          <w:rFonts w:ascii="Times New Roman" w:hAnsi="Times New Roman" w:eastAsia="Times New Roman"/>
          <w:b w:val="0"/>
          <w:i w:val="0"/>
          <w:color w:val="2B2B2B"/>
          <w:sz w:val="24"/>
        </w:rPr>
        <w:t>Negotiation leaves control with the parties. There is no third-party decision-maker. The outcome binds only if the parties agree and have authority to bind. It suits mixed commercial issues where the relationship still works. Advantages: speed, cost, flexibility, control. Limitations: power imbalance, deadlock, and the information problems already visible on this file.</w:t>
      </w:r>
    </w:p>
    <w:p>
      <w:pPr>
        <w:spacing w:after="160" w:before="0" w:line="276" w:lineRule="auto"/>
        <w:ind w:firstLine="425"/>
        <w:jc w:val="both"/>
      </w:pPr>
      <w:r>
        <w:rPr>
          <w:rFonts w:ascii="Times New Roman" w:hAnsi="Times New Roman" w:eastAsia="Times New Roman"/>
          <w:b w:val="0"/>
          <w:i w:val="0"/>
          <w:color w:val="2B2B2B"/>
          <w:sz w:val="24"/>
        </w:rPr>
        <w:t>Mediation inserts a facilitator who does not ordinarily impose a result. Control remains with the parties. A written settlement can be made enforceable under AMA 2023. It suits mixed issues and live relationships. Limitations: no settlement is guaranteed; quality depends on the neutral and on participation.</w:t>
      </w:r>
    </w:p>
    <w:p>
      <w:pPr>
        <w:spacing w:after="160" w:before="0" w:line="276" w:lineRule="auto"/>
        <w:ind w:firstLine="425"/>
        <w:jc w:val="both"/>
      </w:pPr>
      <w:r>
        <w:rPr>
          <w:rFonts w:ascii="Times New Roman" w:hAnsi="Times New Roman" w:eastAsia="Times New Roman"/>
          <w:b w:val="0"/>
          <w:i w:val="0"/>
          <w:color w:val="2B2B2B"/>
          <w:sz w:val="24"/>
        </w:rPr>
        <w:t>Early neutral evaluation inserts an evaluator who tests the strengths and weaknesses of each side. It is a reality check, not normally a final adjudication. It suits parties trapped by unrealistic legal or quantum theories. Limitations: the evaluation may itself be disputed; it adds process cost.</w:t>
      </w:r>
    </w:p>
    <w:p>
      <w:pPr>
        <w:spacing w:after="160" w:before="0" w:line="276" w:lineRule="auto"/>
        <w:ind w:firstLine="425"/>
        <w:jc w:val="both"/>
      </w:pPr>
      <w:r>
        <w:rPr>
          <w:rFonts w:ascii="Times New Roman" w:hAnsi="Times New Roman" w:eastAsia="Times New Roman"/>
          <w:b w:val="0"/>
          <w:i w:val="0"/>
          <w:color w:val="2B2B2B"/>
          <w:sz w:val="24"/>
        </w:rPr>
        <w:t>Expert determination inserts a specialist who answers a defined technical or valuation question. Binding effect depends on the mandate. It suits quantum of authorised extras, specification compliance and similar specialist issues. Limitations: it will not decide notice, concurrency or relationship; an unclear mandate produces a second dispute about jurisdiction.</w:t>
      </w:r>
    </w:p>
    <w:p>
      <w:pPr>
        <w:spacing w:after="160" w:before="0" w:line="276" w:lineRule="auto"/>
        <w:ind w:firstLine="425"/>
        <w:jc w:val="both"/>
      </w:pPr>
      <w:r>
        <w:rPr>
          <w:rFonts w:ascii="Times New Roman" w:hAnsi="Times New Roman" w:eastAsia="Times New Roman"/>
          <w:b w:val="0"/>
          <w:i w:val="0"/>
          <w:color w:val="2B2B2B"/>
          <w:sz w:val="24"/>
        </w:rPr>
        <w:t>Arbitration inserts a tribunal that issues an award. Party control is lowest. It suits residual legal entitlement, finality and coercible process. Limitations: cost, time, adversarial temperature, and damage to a live site relationship if used as the opening move.</w:t>
      </w:r>
    </w:p>
    <w:p>
      <w:pPr>
        <w:spacing w:before="320" w:after="160"/>
        <w:ind w:firstLine="0"/>
        <w:jc w:val="left"/>
        <w:pBdr>
          <w:bottom w:val="single" w:sz="12" w:space="4" w:color="1B365D"/>
        </w:pBdr>
      </w:pPr>
      <w:r>
        <w:rPr>
          <w:rFonts w:ascii="Times New Roman" w:hAnsi="Times New Roman" w:eastAsia="Times New Roman"/>
          <w:b/>
          <w:i w:val="0"/>
          <w:color w:val="1B365D"/>
          <w:sz w:val="28"/>
        </w:rPr>
        <w:t>QUESTION 3. The Procurement Manager</w:t>
      </w:r>
    </w:p>
    <w:p>
      <w:pPr>
        <w:spacing w:before="240" w:after="160"/>
        <w:ind w:firstLine="0"/>
        <w:jc w:val="left"/>
      </w:pPr>
      <w:r>
        <w:rPr>
          <w:rFonts w:ascii="Times New Roman" w:hAnsi="Times New Roman" w:eastAsia="Times New Roman"/>
          <w:b/>
          <w:i w:val="0"/>
          <w:color w:val="8B6914"/>
          <w:sz w:val="26"/>
        </w:rPr>
        <w:t>A. Problem-based question</w:t>
      </w:r>
    </w:p>
    <w:p>
      <w:pPr>
        <w:spacing w:after="160" w:before="0" w:line="276" w:lineRule="auto"/>
        <w:ind w:firstLine="425"/>
        <w:jc w:val="both"/>
      </w:pPr>
      <w:r>
        <w:rPr>
          <w:rFonts w:ascii="Times New Roman" w:hAnsi="Times New Roman" w:eastAsia="Times New Roman"/>
          <w:b w:val="0"/>
          <w:i w:val="0"/>
          <w:color w:val="2B2B2B"/>
          <w:sz w:val="24"/>
        </w:rPr>
        <w:t>The proposition that a procurement manager representing the university may do whatever is necessary to obtain the best outcome is false as a matter of public law and professional ethics. Public procurement is a fiduciary and statutory function. Section 57 of the Public Procurement Act 2007 addresses honesty, accountability, transparency, fairness and confidentiality. Best outcome for a public body is lawful value, not the contractor's comfort and not peace at any price.</w:t>
      </w:r>
    </w:p>
    <w:p>
      <w:pPr>
        <w:spacing w:after="160" w:before="0" w:line="276" w:lineRule="auto"/>
        <w:ind w:firstLine="425"/>
        <w:jc w:val="both"/>
      </w:pPr>
      <w:r>
        <w:rPr>
          <w:rFonts w:ascii="Times New Roman" w:hAnsi="Times New Roman" w:eastAsia="Times New Roman"/>
          <w:b w:val="0"/>
          <w:i w:val="0"/>
          <w:color w:val="2B2B2B"/>
          <w:sz w:val="24"/>
        </w:rPr>
        <w:t>Disclosure of the confidential internal valuation, showing variations at about N150 million, was not permissible. Tender prices, internal valuations and settlement positions are exactly the class of material Weeks 6 to 8 identify as requiring protection. Handing Alpha the employer's working figure told the contractor where the ceiling sat and destroyed the university's bargaining range. That was not principled negotiation. It was unauthorised release of the procuring entity's information. The lecture's warning about giving a preferred party a competitor's confidential price applies in spirit.</w:t>
      </w:r>
    </w:p>
    <w:p>
      <w:pPr>
        <w:spacing w:after="160" w:before="0" w:line="276" w:lineRule="auto"/>
        <w:ind w:firstLine="425"/>
        <w:jc w:val="both"/>
      </w:pPr>
      <w:r>
        <w:rPr>
          <w:rFonts w:ascii="Times New Roman" w:hAnsi="Times New Roman" w:eastAsia="Times New Roman"/>
          <w:b w:val="0"/>
          <w:i w:val="0"/>
          <w:color w:val="2B2B2B"/>
          <w:sz w:val="24"/>
        </w:rPr>
        <w:t>What could have been tabled is an authorised without-prejudice offer, after facts, authority, interests, BATNA and reservation point had been prepared. What could not be tabled is the working paper itself. Ethical and professional boundaries include: no private benefit; no concealment of approaches; no use of insider information to advantage a contractor; no assumption of a mediator's role; no settlement beyond delegated authority; and no use of ADR to bypass procurement approvals. The professional duty is lawful best value, not maximum concession to keep the site quiet.</w:t>
      </w:r>
    </w:p>
    <w:p>
      <w:pPr>
        <w:spacing w:before="240" w:after="160"/>
        <w:ind w:firstLine="0"/>
        <w:jc w:val="left"/>
      </w:pPr>
      <w:r>
        <w:rPr>
          <w:rFonts w:ascii="Times New Roman" w:hAnsi="Times New Roman" w:eastAsia="Times New Roman"/>
          <w:b/>
          <w:i w:val="0"/>
          <w:color w:val="8B6914"/>
          <w:sz w:val="26"/>
        </w:rPr>
        <w:t>B. Theoretical question</w:t>
      </w:r>
    </w:p>
    <w:p>
      <w:pPr>
        <w:spacing w:after="160" w:before="0" w:line="276" w:lineRule="auto"/>
        <w:ind w:firstLine="425"/>
        <w:jc w:val="both"/>
      </w:pPr>
      <w:r>
        <w:rPr>
          <w:rFonts w:ascii="Times New Roman" w:hAnsi="Times New Roman" w:eastAsia="Times New Roman"/>
          <w:b w:val="0"/>
          <w:i w:val="0"/>
          <w:color w:val="2B2B2B"/>
          <w:sz w:val="24"/>
        </w:rPr>
        <w:t>A procurement manager is involved across the commercial life cycle from planning and award through administration, variations, claims, dispute prevention and close-out. As a party representative the manager assembles facts, instructs counsel and specialists, protects the mandate and recommends settlement. That is representation. Legal advice belongs to the Legal Adviser. Technical advice belongs to the quantity surveyor, engineer or project manager according to competence. Neutral functions belong to a mediator, evaluator or expert.</w:t>
      </w:r>
    </w:p>
    <w:p>
      <w:pPr>
        <w:spacing w:after="160" w:before="0" w:line="276" w:lineRule="auto"/>
        <w:ind w:firstLine="425"/>
        <w:jc w:val="both"/>
      </w:pPr>
      <w:r>
        <w:rPr>
          <w:rFonts w:ascii="Times New Roman" w:hAnsi="Times New Roman" w:eastAsia="Times New Roman"/>
          <w:b w:val="0"/>
          <w:i w:val="0"/>
          <w:color w:val="2B2B2B"/>
          <w:sz w:val="24"/>
        </w:rPr>
        <w:t>Competence includes recognising professional limits. Combining representative and neutral roles collapses trust. A representative has a side. Neutrality means the third party does not become an advocate. The same human being cannot credibly inhabit both roles in one controversy. The problem is sharper here because that same manager has already been sounded out with an inducement and has already leaked restricted information. The manager should ordinarily not act as mediator or other neutral in the same dispute.</w:t>
      </w:r>
    </w:p>
    <w:p>
      <w:pPr>
        <w:spacing w:before="320" w:after="160"/>
        <w:ind w:firstLine="0"/>
        <w:jc w:val="left"/>
        <w:pBdr>
          <w:bottom w:val="single" w:sz="12" w:space="4" w:color="1B365D"/>
        </w:pBdr>
      </w:pPr>
      <w:r>
        <w:rPr>
          <w:rFonts w:ascii="Times New Roman" w:hAnsi="Times New Roman" w:eastAsia="Times New Roman"/>
          <w:b/>
          <w:i w:val="0"/>
          <w:color w:val="1B365D"/>
          <w:sz w:val="28"/>
        </w:rPr>
        <w:t>QUESTION 4. Conflict of interest, bias and the mediator</w:t>
      </w:r>
    </w:p>
    <w:p>
      <w:pPr>
        <w:spacing w:before="240" w:after="160"/>
        <w:ind w:firstLine="0"/>
        <w:jc w:val="left"/>
      </w:pPr>
      <w:r>
        <w:rPr>
          <w:rFonts w:ascii="Times New Roman" w:hAnsi="Times New Roman" w:eastAsia="Times New Roman"/>
          <w:b/>
          <w:i w:val="0"/>
          <w:color w:val="8B6914"/>
          <w:sz w:val="26"/>
        </w:rPr>
        <w:t>A. Problem-based question</w:t>
      </w:r>
    </w:p>
    <w:p>
      <w:pPr>
        <w:spacing w:after="160" w:before="0" w:line="276" w:lineRule="auto"/>
        <w:ind w:firstLine="425"/>
        <w:jc w:val="both"/>
      </w:pPr>
      <w:r>
        <w:rPr>
          <w:rFonts w:ascii="Times New Roman" w:hAnsi="Times New Roman" w:eastAsia="Times New Roman"/>
          <w:b w:val="0"/>
          <w:i w:val="0"/>
          <w:color w:val="2B2B2B"/>
          <w:sz w:val="24"/>
        </w:rPr>
        <w:t>The mediator disclosed a consultancy to Alpha two years earlier and says it was unrelated. Under section 72 of the Arbitration and Mediation Act 2023, a person approached for appointment as mediator must disclose circumstances likely to give rise to justifiable doubts concerning impartiality or independence. The duty continues after appointment. Where such circumstances exist, the mediator may act where the parties agree.</w:t>
      </w:r>
    </w:p>
    <w:p>
      <w:pPr>
        <w:spacing w:after="160" w:before="0" w:line="276" w:lineRule="auto"/>
        <w:ind w:firstLine="425"/>
        <w:jc w:val="both"/>
      </w:pPr>
      <w:r>
        <w:rPr>
          <w:rFonts w:ascii="Times New Roman" w:hAnsi="Times New Roman" w:eastAsia="Times New Roman"/>
          <w:b w:val="0"/>
          <w:i w:val="0"/>
          <w:color w:val="2B2B2B"/>
          <w:sz w:val="24"/>
        </w:rPr>
        <w:t>Automatic removal is therefore not required. Apparent bias is not automatic disqualification in every case. The appropriate response depends on the nature and significance of the relationship, disclosure, informed agreement, applicable rules and the effect on confidence. A consultancy ten years ago on an unrelated matter is not the same as a current financial interest. Here the work is recent enough to matter, Alpha has objected on apparent bias, and the university's delay argument is real but second to legitimacy.</w:t>
      </w:r>
    </w:p>
    <w:p>
      <w:pPr>
        <w:spacing w:after="160" w:before="0" w:line="276" w:lineRule="auto"/>
        <w:ind w:firstLine="425"/>
        <w:jc w:val="both"/>
      </w:pPr>
      <w:r>
        <w:rPr>
          <w:rFonts w:ascii="Times New Roman" w:hAnsi="Times New Roman" w:eastAsia="Times New Roman"/>
          <w:b w:val="0"/>
          <w:i w:val="0"/>
          <w:color w:val="2B2B2B"/>
          <w:sz w:val="24"/>
        </w:rPr>
        <w:t>Practical course: obtain written particulars of the prior engagement; assess whether the circumstances create justifiable doubts; if doubt remains and Alpha withholds informed consent, replace the mediator. Paying twice for a mediator is cheaper than defending a settlement later. Non-disclosure that materially affected the mediation or involved undue influence on the settlement is legally significant under the AMA 2023 framework.</w:t>
      </w:r>
    </w:p>
    <w:p>
      <w:pPr>
        <w:spacing w:before="240" w:after="160"/>
        <w:ind w:firstLine="0"/>
        <w:jc w:val="left"/>
      </w:pPr>
      <w:r>
        <w:rPr>
          <w:rFonts w:ascii="Times New Roman" w:hAnsi="Times New Roman" w:eastAsia="Times New Roman"/>
          <w:b/>
          <w:i w:val="0"/>
          <w:color w:val="8B6914"/>
          <w:sz w:val="26"/>
        </w:rPr>
        <w:t>B. Theoretical question</w:t>
      </w:r>
    </w:p>
    <w:p>
      <w:pPr>
        <w:spacing w:after="160" w:before="0" w:line="276" w:lineRule="auto"/>
        <w:ind w:firstLine="425"/>
        <w:jc w:val="both"/>
      </w:pPr>
      <w:r>
        <w:rPr>
          <w:rFonts w:ascii="Times New Roman" w:hAnsi="Times New Roman" w:eastAsia="Times New Roman"/>
          <w:b w:val="0"/>
          <w:i w:val="0"/>
          <w:color w:val="2B2B2B"/>
          <w:sz w:val="24"/>
        </w:rPr>
        <w:t>Actual bias is genuine partiality: the neutral truly favours one side. Apparent bias is circumstances creating justifiable doubts about impartiality or independence, even if the neutral believes he or she can act fairly. Conflict of interest is a personal, financial, professional or other interest that may interfere, or appear to interfere, with independent performance. It may be actual, potential or apparent. Impartiality means the neutral does not improperly favour one party. Neutrality means the neutral does not become an advocate. A mediator may still challenge assumptions or ask difficult questions without becoming partial.</w:t>
      </w:r>
    </w:p>
    <w:p>
      <w:pPr>
        <w:spacing w:after="160" w:before="0" w:line="276" w:lineRule="auto"/>
        <w:ind w:firstLine="425"/>
        <w:jc w:val="both"/>
      </w:pPr>
      <w:r>
        <w:rPr>
          <w:rFonts w:ascii="Times New Roman" w:hAnsi="Times New Roman" w:eastAsia="Times New Roman"/>
          <w:b w:val="0"/>
          <w:i w:val="0"/>
          <w:color w:val="2B2B2B"/>
          <w:sz w:val="24"/>
        </w:rPr>
        <w:t>Apparent bias alone is not always enough for automatic disqualification, but it is enough to require disclosure and, absent informed consent, replacement. Mediation lives on trust rather than on an appealable award. A mediator should disclose before appointment and continuously thereafter, withdraw if disclosure does not produce informed agreement, and be replaced where a party reasonably withholds that consent. A mere allegation of bias does not automatically establish criminal liability.</w:t>
      </w:r>
    </w:p>
    <w:p>
      <w:pPr>
        <w:spacing w:before="320" w:after="160"/>
        <w:ind w:firstLine="0"/>
        <w:jc w:val="left"/>
        <w:pBdr>
          <w:bottom w:val="single" w:sz="12" w:space="4" w:color="1B365D"/>
        </w:pBdr>
      </w:pPr>
      <w:r>
        <w:rPr>
          <w:rFonts w:ascii="Times New Roman" w:hAnsi="Times New Roman" w:eastAsia="Times New Roman"/>
          <w:b/>
          <w:i w:val="0"/>
          <w:color w:val="1B365D"/>
          <w:sz w:val="28"/>
        </w:rPr>
        <w:t>QUESTION 5. Confidentiality in ADR and procurement</w:t>
      </w:r>
    </w:p>
    <w:p>
      <w:pPr>
        <w:spacing w:before="240" w:after="160"/>
        <w:ind w:firstLine="0"/>
        <w:jc w:val="left"/>
      </w:pPr>
      <w:r>
        <w:rPr>
          <w:rFonts w:ascii="Times New Roman" w:hAnsi="Times New Roman" w:eastAsia="Times New Roman"/>
          <w:b/>
          <w:i w:val="0"/>
          <w:color w:val="8B6914"/>
          <w:sz w:val="26"/>
        </w:rPr>
        <w:t>A. Problem-based question</w:t>
      </w:r>
    </w:p>
    <w:p>
      <w:pPr>
        <w:spacing w:after="160" w:before="0" w:line="276" w:lineRule="auto"/>
        <w:ind w:firstLine="425"/>
        <w:jc w:val="both"/>
      </w:pPr>
      <w:r>
        <w:rPr>
          <w:rFonts w:ascii="Times New Roman" w:hAnsi="Times New Roman" w:eastAsia="Times New Roman"/>
          <w:b w:val="0"/>
          <w:i w:val="0"/>
          <w:color w:val="2B2B2B"/>
          <w:sz w:val="24"/>
        </w:rPr>
        <w:t>Using the lecture's practical confidentiality analysis: identify what was disclosed (the internal valuation report); who disclosed it (the Procurement Manager, during negotiations, not under a mediation caucus rule); whether the information was independently protected (yes: institutional and confidential procurement information); whether a statutory exception applied (no: this was not implementation of a settlement, prevention of crime, or public order); and what the agreement and procurement rules required (non-disclosure of such papers to the contractor).</w:t>
      </w:r>
    </w:p>
    <w:p>
      <w:pPr>
        <w:spacing w:after="160" w:before="0" w:line="276" w:lineRule="auto"/>
        <w:ind w:firstLine="425"/>
        <w:jc w:val="both"/>
      </w:pPr>
      <w:r>
        <w:rPr>
          <w:rFonts w:ascii="Times New Roman" w:hAnsi="Times New Roman" w:eastAsia="Times New Roman"/>
          <w:b w:val="0"/>
          <w:i w:val="0"/>
          <w:color w:val="2B2B2B"/>
          <w:sz w:val="24"/>
        </w:rPr>
        <w:t>The manager should have kept the report inside, sought written authority, and if a figure had to be shown, tabled an authorised settlement proposal rather than the model. Possible consequences include a collapsed negotiating range, internal investigation, disciplinary action, removal from procurement functions, and, if the conduct falls within a PPA offence, the sanctions contemplated by section 58, including in relevant circumstances imprisonment and dismissal upon conviction. The leak also raises the question whether the unreported approach influenced the disclosure. Further papers leave the building only with Legal clearance.</w:t>
      </w:r>
    </w:p>
    <w:p>
      <w:pPr>
        <w:spacing w:before="240" w:after="160"/>
        <w:ind w:firstLine="0"/>
        <w:jc w:val="left"/>
      </w:pPr>
      <w:r>
        <w:rPr>
          <w:rFonts w:ascii="Times New Roman" w:hAnsi="Times New Roman" w:eastAsia="Times New Roman"/>
          <w:b/>
          <w:i w:val="0"/>
          <w:color w:val="8B6914"/>
          <w:sz w:val="26"/>
        </w:rPr>
        <w:t>B. Theoretical question</w:t>
      </w:r>
    </w:p>
    <w:p>
      <w:pPr>
        <w:spacing w:after="160" w:before="0" w:line="276" w:lineRule="auto"/>
        <w:ind w:firstLine="425"/>
        <w:jc w:val="both"/>
      </w:pPr>
      <w:r>
        <w:rPr>
          <w:rFonts w:ascii="Times New Roman" w:hAnsi="Times New Roman" w:eastAsia="Times New Roman"/>
          <w:b w:val="0"/>
          <w:i w:val="0"/>
          <w:color w:val="2B2B2B"/>
          <w:sz w:val="24"/>
        </w:rPr>
        <w:t>Confidentiality is the general rule in mediation because it encourages candid communication. It is not an unlimited shield. Section 76 of the Arbitration and Mediation Act 2023 establishes confidentiality but recognises exceptions, including implementation or enforcement of a settlement, preventing or revealing the commission or concealment of a crime, addressing a threat to a party, and protecting public order, subject to the Act. Students should not say that everything said in negotiation or mediation is absolutely confidential in all circumstances.</w:t>
      </w:r>
    </w:p>
    <w:p>
      <w:pPr>
        <w:spacing w:after="160" w:before="0" w:line="276" w:lineRule="auto"/>
        <w:ind w:firstLine="425"/>
        <w:jc w:val="both"/>
      </w:pPr>
      <w:r>
        <w:rPr>
          <w:rFonts w:ascii="Times New Roman" w:hAnsi="Times New Roman" w:eastAsia="Times New Roman"/>
          <w:b w:val="0"/>
          <w:i w:val="0"/>
          <w:color w:val="2B2B2B"/>
          <w:sz w:val="24"/>
        </w:rPr>
        <w:t>Confidentiality concerns improper disclosure. Evidential privilege and admissibility concern whether information may be relied on in later proceedings. Independently admissible evidence does not become inadmissible merely because it was mentioned during mediation. Ordinary commercial confidentiality is a private-law duty over trade secrets and official papers. Public procurement confidentiality is a statutory and ethical duty not to arm a contractor with the employer's numbers. None of these layers is a hiding place for corruption, and none is a licence to brief the contractor in the name of building trust.</w:t>
      </w:r>
    </w:p>
    <w:p>
      <w:pPr>
        <w:spacing w:before="320" w:after="160"/>
        <w:ind w:firstLine="0"/>
        <w:jc w:val="left"/>
        <w:pBdr>
          <w:bottom w:val="single" w:sz="12" w:space="4" w:color="1B365D"/>
        </w:pBdr>
      </w:pPr>
      <w:r>
        <w:rPr>
          <w:rFonts w:ascii="Times New Roman" w:hAnsi="Times New Roman" w:eastAsia="Times New Roman"/>
          <w:b/>
          <w:i w:val="0"/>
          <w:color w:val="1B365D"/>
          <w:sz w:val="28"/>
        </w:rPr>
        <w:t>QUESTION 6. The improper approach</w:t>
      </w:r>
    </w:p>
    <w:p>
      <w:pPr>
        <w:spacing w:before="240" w:after="160"/>
        <w:ind w:firstLine="0"/>
        <w:jc w:val="left"/>
      </w:pPr>
      <w:r>
        <w:rPr>
          <w:rFonts w:ascii="Times New Roman" w:hAnsi="Times New Roman" w:eastAsia="Times New Roman"/>
          <w:b/>
          <w:i w:val="0"/>
          <w:color w:val="8B6914"/>
          <w:sz w:val="26"/>
        </w:rPr>
        <w:t>A. Problem-based question</w:t>
      </w:r>
    </w:p>
    <w:p>
      <w:pPr>
        <w:spacing w:after="160" w:before="0" w:line="276" w:lineRule="auto"/>
        <w:ind w:firstLine="425"/>
        <w:jc w:val="both"/>
      </w:pPr>
      <w:r>
        <w:rPr>
          <w:rFonts w:ascii="Times New Roman" w:hAnsi="Times New Roman" w:eastAsia="Times New Roman"/>
          <w:b w:val="0"/>
          <w:i w:val="0"/>
          <w:color w:val="2B2B2B"/>
          <w:sz w:val="24"/>
        </w:rPr>
        <w:t>Good faith involves honest and genuine participation. It does not require a party to abandon a legitimate claim, and it does not permit dishonest manipulation or use of the process for an improper purpose. The Managing Director's statement, that if the manager helped settle quickly the contractor would make sure he was properly taken care of, is an offer of an improper benefit connected with a public contract.</w:t>
      </w:r>
    </w:p>
    <w:p>
      <w:pPr>
        <w:spacing w:after="160" w:before="0" w:line="276" w:lineRule="auto"/>
        <w:ind w:firstLine="425"/>
        <w:jc w:val="both"/>
      </w:pPr>
      <w:r>
        <w:rPr>
          <w:rFonts w:ascii="Times New Roman" w:hAnsi="Times New Roman" w:eastAsia="Times New Roman"/>
          <w:b w:val="0"/>
          <w:i w:val="0"/>
          <w:color w:val="2B2B2B"/>
          <w:sz w:val="24"/>
        </w:rPr>
        <w:t>Accepting the benefit would be corrupt and a serious ethical and likely criminal breach. Refusing but not reporting leaves the organisation blind and the official compromised. Continuing to negotiate while concealing the approach is itself misconduct and contaminates any later settlement. The only defensible course is immediate written report to the Accounting Officer and Legal Adviser, withdrawal from the file, preservation of the conversation record, written rejection to Alpha, and consideration of whether ICPC or Code of Conduct processes are engaged. Informed consent and settlement authority cannot sit with an official who is the target of an undisclosed inducement.</w:t>
      </w:r>
    </w:p>
    <w:p>
      <w:pPr>
        <w:spacing w:before="240" w:after="160"/>
        <w:ind w:firstLine="0"/>
        <w:jc w:val="left"/>
      </w:pPr>
      <w:r>
        <w:rPr>
          <w:rFonts w:ascii="Times New Roman" w:hAnsi="Times New Roman" w:eastAsia="Times New Roman"/>
          <w:b/>
          <w:i w:val="0"/>
          <w:color w:val="8B6914"/>
          <w:sz w:val="26"/>
        </w:rPr>
        <w:t>B. Theoretical question</w:t>
      </w:r>
    </w:p>
    <w:p>
      <w:pPr>
        <w:spacing w:after="160" w:before="0" w:line="276" w:lineRule="auto"/>
        <w:ind w:firstLine="425"/>
        <w:jc w:val="both"/>
      </w:pPr>
      <w:r>
        <w:rPr>
          <w:rFonts w:ascii="Times New Roman" w:hAnsi="Times New Roman" w:eastAsia="Times New Roman"/>
          <w:b w:val="0"/>
          <w:i w:val="0"/>
          <w:color w:val="2B2B2B"/>
          <w:sz w:val="24"/>
        </w:rPr>
        <w:t>Procurement ethics in ADR rest on integrity and honesty, impartiality and neutrality of neutrals, confidentiality, informed consent, good-faith participation, professional competence, conflict-of-interest disclosure, fairness and attention to power imbalance. Section 57 of the Public Procurement Act 2007 supplies the statutory ethic for federal public procurement. ADR must not become a vehicle for bypassing those standards.</w:t>
      </w:r>
    </w:p>
    <w:p>
      <w:pPr>
        <w:spacing w:after="160" w:before="0" w:line="276" w:lineRule="auto"/>
        <w:ind w:firstLine="425"/>
        <w:jc w:val="both"/>
      </w:pPr>
      <w:r>
        <w:rPr>
          <w:rFonts w:ascii="Times New Roman" w:hAnsi="Times New Roman" w:eastAsia="Times New Roman"/>
          <w:b w:val="0"/>
          <w:i w:val="0"/>
          <w:color w:val="2B2B2B"/>
          <w:sz w:val="24"/>
        </w:rPr>
        <w:t>Consequences of ethical breach are not automatic or uniform. They depend on the duty breached, governing law, seriousness and impact. A procurement manager may face internal investigation, disciplinary proceedings, suspension, removal from procurement functions, dismissal, professional consequences and, where legislation is violated, civil or criminal consequences. Section 58 of the PPA provides serious sanctions for specified contraventions. The Corrupt Practices and Other Related Offences Act 2000 and the Fifth Schedule to the 1999 Constitution (Code of Conduct for Public Officers) may also be engaged. A mediator or expert may face replacement, termination of mandate and institutional or professional complaint. Settlement is not an amnesty for the approach, and a cheap deal does not wash the stain out.</w:t>
      </w:r>
    </w:p>
    <w:p>
      <w:pPr>
        <w:spacing w:before="320" w:after="160"/>
        <w:ind w:firstLine="0"/>
        <w:jc w:val="left"/>
        <w:pBdr>
          <w:bottom w:val="single" w:sz="12" w:space="4" w:color="1B365D"/>
        </w:pBdr>
      </w:pPr>
      <w:r>
        <w:rPr>
          <w:rFonts w:ascii="Times New Roman" w:hAnsi="Times New Roman" w:eastAsia="Times New Roman"/>
          <w:b/>
          <w:i w:val="0"/>
          <w:color w:val="1B365D"/>
          <w:sz w:val="28"/>
        </w:rPr>
        <w:t>QUESTION 7. Settlement agreements</w:t>
      </w:r>
    </w:p>
    <w:p>
      <w:pPr>
        <w:spacing w:before="240" w:after="160"/>
        <w:ind w:firstLine="0"/>
        <w:jc w:val="left"/>
      </w:pPr>
      <w:r>
        <w:rPr>
          <w:rFonts w:ascii="Times New Roman" w:hAnsi="Times New Roman" w:eastAsia="Times New Roman"/>
          <w:b/>
          <w:i w:val="0"/>
          <w:color w:val="8B6914"/>
          <w:sz w:val="26"/>
        </w:rPr>
        <w:t>A. Problem-based question</w:t>
      </w:r>
    </w:p>
    <w:p>
      <w:pPr>
        <w:spacing w:after="160" w:before="0" w:line="276" w:lineRule="auto"/>
        <w:ind w:firstLine="425"/>
        <w:jc w:val="both"/>
      </w:pPr>
      <w:r>
        <w:rPr>
          <w:rFonts w:ascii="Times New Roman" w:hAnsi="Times New Roman" w:eastAsia="Times New Roman"/>
          <w:b w:val="0"/>
          <w:i w:val="0"/>
          <w:color w:val="2B2B2B"/>
          <w:sz w:val="24"/>
        </w:rPr>
        <w:t>The statement 'the parties settled for N250 million' is incomplete. A professional must ask what the amount settles, when it will be paid, what happens if payment is late, which claims are released, which remain alive, and what happens if the settlement is breached. At least eight essential terms are required.</w:t>
      </w:r>
    </w:p>
    <w:p>
      <w:pPr>
        <w:pStyle w:val="ListBullet"/>
        <w:spacing w:after="80" w:before="0" w:line="276" w:lineRule="auto"/>
        <w:ind w:left="709" w:hanging="227"/>
      </w:pPr>
      <w:r>
        <w:rPr>
          <w:rFonts w:ascii="Times New Roman" w:hAnsi="Times New Roman" w:eastAsia="Times New Roman"/>
          <w:b w:val="0"/>
          <w:i w:val="0"/>
          <w:color w:val="2B2B2B"/>
          <w:sz w:val="24"/>
        </w:rPr>
        <w:t>Parties and authority of signatories, including required institutional approvals. Informed consent in procurement is tied to delegated authority.</w:t>
      </w:r>
    </w:p>
    <w:p>
      <w:pPr>
        <w:pStyle w:val="ListBullet"/>
        <w:spacing w:after="80" w:before="0" w:line="276" w:lineRule="auto"/>
        <w:ind w:left="709" w:hanging="227"/>
      </w:pPr>
      <w:r>
        <w:rPr>
          <w:rFonts w:ascii="Times New Roman" w:hAnsi="Times New Roman" w:eastAsia="Times New Roman"/>
          <w:b w:val="0"/>
          <w:i w:val="0"/>
          <w:color w:val="2B2B2B"/>
          <w:sz w:val="24"/>
        </w:rPr>
        <w:t>Background and identification of the dispute.</w:t>
      </w:r>
    </w:p>
    <w:p>
      <w:pPr>
        <w:pStyle w:val="ListBullet"/>
        <w:spacing w:after="80" w:before="0" w:line="276" w:lineRule="auto"/>
        <w:ind w:left="709" w:hanging="227"/>
      </w:pPr>
      <w:r>
        <w:rPr>
          <w:rFonts w:ascii="Times New Roman" w:hAnsi="Times New Roman" w:eastAsia="Times New Roman"/>
          <w:b w:val="0"/>
          <w:i w:val="0"/>
          <w:color w:val="2B2B2B"/>
          <w:sz w:val="24"/>
        </w:rPr>
        <w:t>Claims and issues being settled: the N200 million variations, N100 million delay and extension of time, N80 million materials and N70 million loss and expense, so far as released.</w:t>
      </w:r>
    </w:p>
    <w:p>
      <w:pPr>
        <w:pStyle w:val="ListBullet"/>
        <w:spacing w:after="80" w:before="0" w:line="276" w:lineRule="auto"/>
        <w:ind w:left="709" w:hanging="227"/>
      </w:pPr>
      <w:r>
        <w:rPr>
          <w:rFonts w:ascii="Times New Roman" w:hAnsi="Times New Roman" w:eastAsia="Times New Roman"/>
          <w:b w:val="0"/>
          <w:i w:val="0"/>
          <w:color w:val="2B2B2B"/>
          <w:sz w:val="24"/>
        </w:rPr>
        <w:t>Payment of N250 million: timing, method, interest, taxes, costs and budgetary appropriation.</w:t>
      </w:r>
    </w:p>
    <w:p>
      <w:pPr>
        <w:pStyle w:val="ListBullet"/>
        <w:spacing w:after="80" w:before="0" w:line="276" w:lineRule="auto"/>
        <w:ind w:left="709" w:hanging="227"/>
      </w:pPr>
      <w:r>
        <w:rPr>
          <w:rFonts w:ascii="Times New Roman" w:hAnsi="Times New Roman" w:eastAsia="Times New Roman"/>
          <w:b w:val="0"/>
          <w:i w:val="0"/>
          <w:color w:val="2B2B2B"/>
          <w:sz w:val="24"/>
        </w:rPr>
        <w:t>Performance obligations: completion of outstanding work, repair, access and defects-liability arrangements.</w:t>
      </w:r>
    </w:p>
    <w:p>
      <w:pPr>
        <w:pStyle w:val="ListBullet"/>
        <w:spacing w:after="80" w:before="0" w:line="276" w:lineRule="auto"/>
        <w:ind w:left="709" w:hanging="227"/>
      </w:pPr>
      <w:r>
        <w:rPr>
          <w:rFonts w:ascii="Times New Roman" w:hAnsi="Times New Roman" w:eastAsia="Times New Roman"/>
          <w:b w:val="0"/>
          <w:i w:val="0"/>
          <w:color w:val="2B2B2B"/>
          <w:sz w:val="24"/>
        </w:rPr>
        <w:t>Release of specified claims, and claims expressly preserved, including latent defects not yet known.</w:t>
      </w:r>
    </w:p>
    <w:p>
      <w:pPr>
        <w:pStyle w:val="ListBullet"/>
        <w:spacing w:after="80" w:before="0" w:line="276" w:lineRule="auto"/>
        <w:ind w:left="709" w:hanging="227"/>
      </w:pPr>
      <w:r>
        <w:rPr>
          <w:rFonts w:ascii="Times New Roman" w:hAnsi="Times New Roman" w:eastAsia="Times New Roman"/>
          <w:b w:val="0"/>
          <w:i w:val="0"/>
          <w:color w:val="2B2B2B"/>
          <w:sz w:val="24"/>
        </w:rPr>
        <w:t>Confidentiality where appropriate, subject to audit and lawful demand, together with default consequences and future dispute-resolution arrangements.</w:t>
      </w:r>
    </w:p>
    <w:p>
      <w:pPr>
        <w:pStyle w:val="ListBullet"/>
        <w:spacing w:after="80" w:before="0" w:line="276" w:lineRule="auto"/>
        <w:ind w:left="709" w:hanging="227"/>
      </w:pPr>
      <w:r>
        <w:rPr>
          <w:rFonts w:ascii="Times New Roman" w:hAnsi="Times New Roman" w:eastAsia="Times New Roman"/>
          <w:b w:val="0"/>
          <w:i w:val="0"/>
          <w:color w:val="2B2B2B"/>
          <w:sz w:val="24"/>
        </w:rPr>
        <w:t>Applicable law, forum and execution requirements, including use of AMA 2023 machinery where a mediated settlement is to be enforced.</w:t>
      </w:r>
    </w:p>
    <w:p>
      <w:pPr>
        <w:spacing w:after="160" w:before="0" w:line="276" w:lineRule="auto"/>
        <w:ind w:firstLine="425"/>
        <w:jc w:val="both"/>
      </w:pPr>
      <w:r>
        <w:rPr>
          <w:rFonts w:ascii="Times New Roman" w:hAnsi="Times New Roman" w:eastAsia="Times New Roman"/>
          <w:b w:val="0"/>
          <w:i w:val="0"/>
          <w:color w:val="2B2B2B"/>
          <w:sz w:val="24"/>
        </w:rPr>
        <w:t>On these facts add an express warranty that no improper benefit was offered or accepted in connection with the compromise. Confirm who has authority to approve and sign before execution. Then monitor implementation. A settlement that is not performed generates a new dispute.</w:t>
      </w:r>
    </w:p>
    <w:p>
      <w:pPr>
        <w:spacing w:before="240" w:after="160"/>
        <w:ind w:firstLine="0"/>
        <w:jc w:val="left"/>
      </w:pPr>
      <w:r>
        <w:rPr>
          <w:rFonts w:ascii="Times New Roman" w:hAnsi="Times New Roman" w:eastAsia="Times New Roman"/>
          <w:b/>
          <w:i w:val="0"/>
          <w:color w:val="8B6914"/>
          <w:sz w:val="26"/>
        </w:rPr>
        <w:t>B. Theoretical question</w:t>
      </w:r>
    </w:p>
    <w:p>
      <w:pPr>
        <w:spacing w:after="160" w:before="0" w:line="276" w:lineRule="auto"/>
        <w:ind w:firstLine="425"/>
        <w:jc w:val="both"/>
      </w:pPr>
      <w:r>
        <w:rPr>
          <w:rFonts w:ascii="Times New Roman" w:hAnsi="Times New Roman" w:eastAsia="Times New Roman"/>
          <w:b w:val="0"/>
          <w:i w:val="0"/>
          <w:color w:val="2B2B2B"/>
          <w:sz w:val="24"/>
        </w:rPr>
        <w:t>A settlement agreement records the terms on which parties agree to resolve some or all of a dispute. It converts an ADR outcome into defined obligations. Settlement is commercially rational even where a party believes it has a strong case, because litigation and arbitration are expensive, slow and uncertain. Settlement does not necessarily mean that either party admits legal liability. It may simply represent commercial risk management.</w:t>
      </w:r>
    </w:p>
    <w:p>
      <w:pPr>
        <w:spacing w:after="160" w:before="0" w:line="276" w:lineRule="auto"/>
        <w:ind w:firstLine="425"/>
        <w:jc w:val="both"/>
      </w:pPr>
      <w:r>
        <w:rPr>
          <w:rFonts w:ascii="Times New Roman" w:hAnsi="Times New Roman" w:eastAsia="Times New Roman"/>
          <w:b w:val="0"/>
          <w:i w:val="0"/>
          <w:color w:val="2B2B2B"/>
          <w:sz w:val="24"/>
        </w:rPr>
        <w:t>A full settlement resolves all claims intended to be resolved. A partial settlement resolves specified issues and leaves others open. Partial settlement is valuable in procurement: the parties may settle variation quantum and leave delay alive, provided the instrument says so. A settlement without admission of liability is common and legitimate. Precise drafting matters because an ambiguous release, an unsigned authority gap, or a missing default clause turns the 'settlement' into the next dispute. In public procurement the instrument must also survive audit. A handshake on site is not a settlement.</w:t>
      </w:r>
    </w:p>
    <w:p>
      <w:pPr>
        <w:spacing w:before="320" w:after="160"/>
        <w:ind w:firstLine="0"/>
        <w:jc w:val="left"/>
        <w:pBdr>
          <w:bottom w:val="single" w:sz="12" w:space="4" w:color="1B365D"/>
        </w:pBdr>
      </w:pPr>
      <w:r>
        <w:rPr>
          <w:rFonts w:ascii="Times New Roman" w:hAnsi="Times New Roman" w:eastAsia="Times New Roman"/>
          <w:b/>
          <w:i w:val="0"/>
          <w:color w:val="1B365D"/>
          <w:sz w:val="28"/>
        </w:rPr>
        <w:t>QUESTION 8. Expert determination</w:t>
      </w:r>
    </w:p>
    <w:p>
      <w:pPr>
        <w:spacing w:before="240" w:after="160"/>
        <w:ind w:firstLine="0"/>
        <w:jc w:val="left"/>
      </w:pPr>
      <w:r>
        <w:rPr>
          <w:rFonts w:ascii="Times New Roman" w:hAnsi="Times New Roman" w:eastAsia="Times New Roman"/>
          <w:b/>
          <w:i w:val="0"/>
          <w:color w:val="8B6914"/>
          <w:sz w:val="26"/>
        </w:rPr>
        <w:t>A. Problem-based question</w:t>
      </w:r>
    </w:p>
    <w:p>
      <w:pPr>
        <w:spacing w:after="160" w:before="0" w:line="276" w:lineRule="auto"/>
        <w:ind w:firstLine="425"/>
        <w:jc w:val="both"/>
      </w:pPr>
      <w:r>
        <w:rPr>
          <w:rFonts w:ascii="Times New Roman" w:hAnsi="Times New Roman" w:eastAsia="Times New Roman"/>
          <w:b w:val="0"/>
          <w:i w:val="0"/>
          <w:color w:val="2B2B2B"/>
          <w:sz w:val="24"/>
        </w:rPr>
        <w:t>If the parties refer the N200 million variation dispute to an independent quantity surveyor, the professional task is to design the mandate, not merely to name a profession. Selection should be of a QS with construction-measurement competence, no current retainer to either party, and capacity to work to a short timetable. Qualifications should be stated. Independence should be confirmed in writing, with the same disclosure logic that section 72 applies to mediators.</w:t>
      </w:r>
    </w:p>
    <w:p>
      <w:pPr>
        <w:spacing w:after="160" w:before="0" w:line="276" w:lineRule="auto"/>
        <w:ind w:firstLine="425"/>
        <w:jc w:val="both"/>
      </w:pPr>
      <w:r>
        <w:rPr>
          <w:rFonts w:ascii="Times New Roman" w:hAnsi="Times New Roman" w:eastAsia="Times New Roman"/>
          <w:b w:val="0"/>
          <w:i w:val="0"/>
          <w:color w:val="2B2B2B"/>
          <w:sz w:val="24"/>
        </w:rPr>
        <w:t>The question must be narrow: the reasonable valuation of variations that are agreed, or separately found, to have been authorised, using the contract rates or, where none apply, a stated valuation rule. The question must not quietly include entitlement, notice, concurrency or defects. Procedure should provide for simultaneous submissions, a site inspection if needed, a reasoned determination, and a timetable. Binding effect should be stated: binding as to quantum of authorised extras, subject to fraud, departure from the mandate, or a short agreed review. Remaining disputes (notice, delay, defects, relationship) stay outside the determination and continue in mediation or, if needed, arbitration.</w:t>
      </w:r>
    </w:p>
    <w:p>
      <w:pPr>
        <w:spacing w:before="240" w:after="160"/>
        <w:ind w:firstLine="0"/>
        <w:jc w:val="left"/>
      </w:pPr>
      <w:r>
        <w:rPr>
          <w:rFonts w:ascii="Times New Roman" w:hAnsi="Times New Roman" w:eastAsia="Times New Roman"/>
          <w:b/>
          <w:i w:val="0"/>
          <w:color w:val="8B6914"/>
          <w:sz w:val="26"/>
        </w:rPr>
        <w:t>B. Theoretical question</w:t>
      </w:r>
    </w:p>
    <w:p>
      <w:pPr>
        <w:spacing w:after="160" w:before="0" w:line="276" w:lineRule="auto"/>
        <w:ind w:firstLine="425"/>
        <w:jc w:val="both"/>
      </w:pPr>
      <w:r>
        <w:rPr>
          <w:rFonts w:ascii="Times New Roman" w:hAnsi="Times New Roman" w:eastAsia="Times New Roman"/>
          <w:b w:val="0"/>
          <w:i w:val="0"/>
          <w:color w:val="2B2B2B"/>
          <w:sz w:val="24"/>
        </w:rPr>
        <w:t>Expert determination appoints a suitably qualified specialist to determine a defined technical, professional, valuation or specialist question. In construction and procurement a QS may value variations; an engineer may test specification compliance; an accountant may determine a defined financial adjustment. Advantages: expertise is applied directly; a narrow question can be answered efficiently; the process can be private and flexible. Limitations: it is a poor tool for complex legal entitlement; fees can be material; an unclear mandate produces a jurisdiction fight; independence concerns can destroy confidence; and one technical answer will not settle a mixed dispute.</w:t>
      </w:r>
    </w:p>
    <w:p>
      <w:pPr>
        <w:spacing w:after="160" w:before="0" w:line="276" w:lineRule="auto"/>
        <w:ind w:firstLine="425"/>
        <w:jc w:val="both"/>
      </w:pPr>
      <w:r>
        <w:rPr>
          <w:rFonts w:ascii="Times New Roman" w:hAnsi="Times New Roman" w:eastAsia="Times New Roman"/>
          <w:b w:val="0"/>
          <w:i w:val="0"/>
          <w:color w:val="2B2B2B"/>
          <w:sz w:val="24"/>
        </w:rPr>
        <w:t>Binding effect is not automatic. It depends on the parties' agreement and the applicable legal framework. The determination may be binding, final subject to specified exceptions, or advisory. Students must therefore read the clause. Independence and conflicts are managed by disclosure, not by pretending that professional contact never happens. Expert determination is not negotiation (the parties do not decide), not mediation (the specialist does decide the assigned question), not ENE (ENE is a reality check of the whole case), and not arbitration (no award, narrower scope, different legal architecture).</w:t>
      </w:r>
    </w:p>
    <w:p>
      <w:pPr>
        <w:spacing w:before="320" w:after="160"/>
        <w:ind w:firstLine="0"/>
        <w:jc w:val="left"/>
        <w:pBdr>
          <w:bottom w:val="single" w:sz="12" w:space="4" w:color="1B365D"/>
        </w:pBdr>
      </w:pPr>
      <w:r>
        <w:rPr>
          <w:rFonts w:ascii="Times New Roman" w:hAnsi="Times New Roman" w:eastAsia="Times New Roman"/>
          <w:b/>
          <w:i w:val="0"/>
          <w:color w:val="1B365D"/>
          <w:sz w:val="28"/>
        </w:rPr>
        <w:t>QUESTION 9. Competing ADR recommendations and ADR governance</w:t>
      </w:r>
    </w:p>
    <w:p>
      <w:pPr>
        <w:spacing w:before="240" w:after="160"/>
        <w:ind w:firstLine="0"/>
        <w:jc w:val="left"/>
      </w:pPr>
      <w:r>
        <w:rPr>
          <w:rFonts w:ascii="Times New Roman" w:hAnsi="Times New Roman" w:eastAsia="Times New Roman"/>
          <w:b/>
          <w:i w:val="0"/>
          <w:color w:val="8B6914"/>
          <w:sz w:val="26"/>
        </w:rPr>
        <w:t>A. Problem-based question</w:t>
      </w:r>
    </w:p>
    <w:p>
      <w:pPr>
        <w:spacing w:after="160" w:before="0" w:line="276" w:lineRule="auto"/>
        <w:ind w:firstLine="425"/>
        <w:jc w:val="both"/>
      </w:pPr>
      <w:r>
        <w:rPr>
          <w:rFonts w:ascii="Times New Roman" w:hAnsi="Times New Roman" w:eastAsia="Times New Roman"/>
          <w:b w:val="0"/>
          <w:i w:val="0"/>
          <w:color w:val="2B2B2B"/>
          <w:sz w:val="24"/>
        </w:rPr>
        <w:t>Procurement recommends negotiation, Project Management mediation, Quantity Surveying expert determination and Legal arbitration. Management should not pick a winner by seniority or by who shouts last. It should unbundle the controversy, as Week 6 requires, and assign each component to the process that fits it. Different mechanisms can and should address different components of the same file.</w:t>
      </w:r>
    </w:p>
    <w:p>
      <w:pPr>
        <w:spacing w:after="160" w:before="0" w:line="276" w:lineRule="auto"/>
        <w:ind w:firstLine="425"/>
        <w:jc w:val="both"/>
      </w:pPr>
      <w:r>
        <w:rPr>
          <w:rFonts w:ascii="Times New Roman" w:hAnsi="Times New Roman" w:eastAsia="Times New Roman"/>
          <w:b w:val="0"/>
          <w:i w:val="0"/>
          <w:color w:val="2B2B2B"/>
          <w:sz w:val="24"/>
        </w:rPr>
        <w:t>The ethics file is not negotiable and is not an ADR item. The live-site relationship and the mixed commercial issues belong first to a clean negotiation and, if needed, mediation. The quantum of authorised extras belongs to a QS. Residual legal entitlement, if still alive after those filters, belongs to arbitration. Management resolves the disagreement by writing that sequence, naming who has authority to negotiate, who has authority to approve, and who has authority to execute, and by putting a date on each gate. That is ADR governance, not a compromise among departments.</w:t>
      </w:r>
    </w:p>
    <w:p>
      <w:pPr>
        <w:spacing w:before="240" w:after="160"/>
        <w:ind w:firstLine="0"/>
        <w:jc w:val="left"/>
      </w:pPr>
      <w:r>
        <w:rPr>
          <w:rFonts w:ascii="Times New Roman" w:hAnsi="Times New Roman" w:eastAsia="Times New Roman"/>
          <w:b/>
          <w:i w:val="0"/>
          <w:color w:val="8B6914"/>
          <w:sz w:val="26"/>
        </w:rPr>
        <w:t>B. Theoretical question</w:t>
      </w:r>
    </w:p>
    <w:p>
      <w:pPr>
        <w:spacing w:after="160" w:before="0" w:line="276" w:lineRule="auto"/>
        <w:ind w:firstLine="425"/>
        <w:jc w:val="both"/>
      </w:pPr>
      <w:r>
        <w:rPr>
          <w:rFonts w:ascii="Times New Roman" w:hAnsi="Times New Roman" w:eastAsia="Times New Roman"/>
          <w:b w:val="0"/>
          <w:i w:val="0"/>
          <w:color w:val="2B2B2B"/>
          <w:sz w:val="24"/>
        </w:rPr>
        <w:t>Multi-tier or multi-mechanism dispute resolution uses more than one process, usually in sequence and sometimes in parallel on separated issues. Selection should rest on the contract, the nature of the issues, value, urgency, complexity, the remaining relationship, authority, cost, enforceability and ethics. Authority to negotiate is not authority to approve a settlement, and authority to approve is not authority to execute. In a public university those three powers often sit in different offices. A procurement manager who signs beyond mandate produces a settlement that may be voidable, unenforceable, or a further PPA problem. Section 16 of the PPA, on fundamental principles of procurement, remains in the background of every governance choice.</w:t>
      </w:r>
    </w:p>
    <w:p>
      <w:pPr>
        <w:spacing w:before="320" w:after="160"/>
        <w:ind w:firstLine="0"/>
        <w:jc w:val="left"/>
        <w:pBdr>
          <w:bottom w:val="single" w:sz="12" w:space="4" w:color="1B365D"/>
        </w:pBdr>
      </w:pPr>
      <w:r>
        <w:rPr>
          <w:rFonts w:ascii="Times New Roman" w:hAnsi="Times New Roman" w:eastAsia="Times New Roman"/>
          <w:b/>
          <w:i w:val="0"/>
          <w:color w:val="1B365D"/>
          <w:sz w:val="28"/>
        </w:rPr>
        <w:t>QUESTION 10. Professional dispute-resolution strategy</w:t>
      </w:r>
    </w:p>
    <w:p>
      <w:pPr>
        <w:spacing w:before="240" w:after="160"/>
        <w:ind w:firstLine="0"/>
        <w:jc w:val="left"/>
      </w:pPr>
      <w:r>
        <w:rPr>
          <w:rFonts w:ascii="Times New Roman" w:hAnsi="Times New Roman" w:eastAsia="Times New Roman"/>
          <w:b/>
          <w:i w:val="0"/>
          <w:color w:val="8B6914"/>
          <w:sz w:val="26"/>
        </w:rPr>
        <w:t>A. Problem-based question</w:t>
      </w:r>
    </w:p>
    <w:p>
      <w:pPr>
        <w:spacing w:after="160" w:before="0" w:line="276" w:lineRule="auto"/>
        <w:ind w:firstLine="425"/>
        <w:jc w:val="both"/>
      </w:pPr>
      <w:r>
        <w:rPr>
          <w:rFonts w:ascii="Times New Roman" w:hAnsi="Times New Roman" w:eastAsia="Times New Roman"/>
          <w:b w:val="0"/>
          <w:i w:val="0"/>
          <w:color w:val="2B2B2B"/>
          <w:sz w:val="24"/>
        </w:rPr>
        <w:t>Within 24 hours management should do the following. Immediate action: take the present Procurement Manager off the file; record and report the approach; send a written rejection to Alpha; freeze unofficial contact. Evidence preservation: secure the valuation report, notices, variation instructions, programmes, site diaries, correspondence and the record of the private conversation; instruct that no further internal papers leave the building without Legal clearance. ADR sequence: clean-team without-prejudice negotiation inside a written envelope; mediation of the remainder before a replacement mediator unless informed consent is obtained; QS determination of authorised-variation quantum. Mediator issue: obtain particulars, test section 72, replace if consent is withheld. Ethics issue: Accounting Officer investigation; consider ICPC and Code of Conduct referral. Settlement authority: confirm in writing who may negotiate, approve and execute, and the Naira ceiling. Technical and legal separation: QS on quantum of authorised extras; Legal on notice, concurrency and defects. Arbitration becomes necessary if consensual processes fail, if a limitation or notice clock forces action, or if a binding determination of legal entitlement is required and cannot wait.</w:t>
      </w:r>
    </w:p>
    <w:p>
      <w:pPr>
        <w:spacing w:before="240" w:after="160"/>
        <w:ind w:firstLine="0"/>
        <w:jc w:val="left"/>
      </w:pPr>
      <w:r>
        <w:rPr>
          <w:rFonts w:ascii="Times New Roman" w:hAnsi="Times New Roman" w:eastAsia="Times New Roman"/>
          <w:b/>
          <w:i w:val="0"/>
          <w:color w:val="8B6914"/>
          <w:sz w:val="26"/>
        </w:rPr>
        <w:t>B. Theoretical question</w:t>
      </w:r>
    </w:p>
    <w:p>
      <w:pPr>
        <w:spacing w:after="160" w:before="0" w:line="276" w:lineRule="auto"/>
        <w:ind w:firstLine="425"/>
        <w:jc w:val="both"/>
      </w:pPr>
      <w:r>
        <w:rPr>
          <w:rFonts w:ascii="Times New Roman" w:hAnsi="Times New Roman" w:eastAsia="Times New Roman"/>
          <w:b w:val="0"/>
          <w:i w:val="0"/>
          <w:color w:val="2B2B2B"/>
          <w:sz w:val="24"/>
        </w:rPr>
        <w:t>A professional ADR decision framework for procurement managers can be stated as a sequence. Identify the precise dispute and unbundle it. Preserve evidence and legality. Test ethics before process. Establish BATNA, WATNA, ZOPA and reservation point. Prefer negotiation where the relationship still works and issues are commercial. Prefer mediation where relationships must survive and issues are mixed. Prefer ENE where each side is trapped by an unrealistic legal or quantum theory. Prefer expert determination where the controversy is a defined technical or valuation question. Prefer arbitration where finality, coercible process or an enforceable award is the dominant need. Combine mechanisms whenever the dispute is a bundle, as here.</w:t>
      </w:r>
    </w:p>
    <w:p>
      <w:pPr>
        <w:spacing w:after="160" w:before="0" w:line="276" w:lineRule="auto"/>
        <w:ind w:firstLine="425"/>
        <w:jc w:val="both"/>
      </w:pPr>
      <w:r>
        <w:rPr>
          <w:rFonts w:ascii="Times New Roman" w:hAnsi="Times New Roman" w:eastAsia="Times New Roman"/>
          <w:b w:val="0"/>
          <w:i w:val="0"/>
          <w:color w:val="2B2B2B"/>
          <w:sz w:val="24"/>
        </w:rPr>
        <w:t>The best mechanism is not the adviser's favourite process. It is the process most appropriate to the particular problem, the contract, the public-integrity constraints and the project's remaining life. Test every design against FAIR. Fairness: is the process fair and procedurally sound? Authority: do the persons negotiating or settling have appropriate authority? Independence: are the neutral or expert sufficiently independent and free from improper conflicts? Resolution: is the outcome clear, lawful, documented and capable of implementation? If a proposed process cannot answer those questions, the procurement professional should pause. On these facts the appropriate process is sequenced negotiation and mediation, with expert determination of variation quantum and arbitration held in reserve, after the ethics breach has been taken off the negotiating table.</w:t>
      </w:r>
    </w:p>
    <w:p>
      <w:pPr>
        <w:spacing w:before="320" w:after="160"/>
        <w:ind w:firstLine="0"/>
        <w:jc w:val="left"/>
        <w:pBdr>
          <w:bottom w:val="single" w:sz="12" w:space="4" w:color="1B365D"/>
        </w:pBdr>
      </w:pPr>
      <w:r>
        <w:rPr>
          <w:rFonts w:ascii="Times New Roman" w:hAnsi="Times New Roman" w:eastAsia="Times New Roman"/>
          <w:b/>
          <w:i w:val="0"/>
          <w:color w:val="1B365D"/>
          <w:sz w:val="28"/>
        </w:rPr>
        <w:t>PART D. Executive brief to senior management</w:t>
      </w:r>
    </w:p>
    <w:p>
      <w:pPr>
        <w:spacing w:after="160" w:before="0" w:line="276" w:lineRule="auto"/>
        <w:ind w:firstLine="425"/>
        <w:jc w:val="both"/>
      </w:pPr>
      <w:r>
        <w:rPr>
          <w:rFonts w:ascii="Times New Roman" w:hAnsi="Times New Roman" w:eastAsia="Times New Roman"/>
          <w:b w:val="0"/>
          <w:i w:val="0"/>
          <w:color w:val="2B2B2B"/>
          <w:sz w:val="24"/>
        </w:rPr>
        <w:t>A N2 billion design-and-build academic complex is six months from contractual completion. Alpha Construction claims N450 million for variations, delay, materials and loss and expense. The university contests authority, notice, delay causation, defects and quantum. Internal assessment of variations is about N150 million. The parties must still finish the building together.</w:t>
      </w:r>
    </w:p>
    <w:p>
      <w:pPr>
        <w:spacing w:after="160" w:before="0" w:line="276" w:lineRule="auto"/>
        <w:ind w:firstLine="425"/>
        <w:jc w:val="both"/>
      </w:pPr>
      <w:r>
        <w:rPr>
          <w:rFonts w:ascii="Times New Roman" w:hAnsi="Times New Roman" w:eastAsia="Times New Roman"/>
          <w:b w:val="0"/>
          <w:i w:val="0"/>
          <w:color w:val="2B2B2B"/>
          <w:sz w:val="24"/>
        </w:rPr>
        <w:t>Major risks: programme overrun if the dispute turns hostile; overpayment against weak notice or entitlement; a leaked internal valuation that has already damaged the ZOPA; an unreported inducement offered to the Procurement Manager; a mediator whose prior consultancy to Alpha raises justifiable doubts under AMA 2023 section 72; and a settlement signed without proper authority.</w:t>
      </w:r>
    </w:p>
    <w:p>
      <w:pPr>
        <w:spacing w:after="160" w:before="0" w:line="276" w:lineRule="auto"/>
        <w:ind w:firstLine="425"/>
        <w:jc w:val="both"/>
      </w:pPr>
      <w:r>
        <w:rPr>
          <w:rFonts w:ascii="Times New Roman" w:hAnsi="Times New Roman" w:eastAsia="Times New Roman"/>
          <w:b w:val="0"/>
          <w:i w:val="0"/>
          <w:color w:val="2B2B2B"/>
          <w:sz w:val="24"/>
        </w:rPr>
        <w:t>Recommended route: apply FAIR. Remove the compromised manager from the file today and report the approach. Preserve evidence. Conduct a short without-prejudice negotiation through a clean team inside a written authority envelope. If unsettled, mediate the whole dispute before a replacement independent mediator unless informed consent is obtained. Refer only the quantum of authorised variations to an independent quantity surveyor. Hold arbitration in reserve for residual legal issues.</w:t>
      </w:r>
    </w:p>
    <w:p>
      <w:pPr>
        <w:spacing w:after="160" w:before="0" w:line="276" w:lineRule="auto"/>
        <w:ind w:firstLine="425"/>
        <w:jc w:val="both"/>
      </w:pPr>
      <w:r>
        <w:rPr>
          <w:rFonts w:ascii="Times New Roman" w:hAnsi="Times New Roman" w:eastAsia="Times New Roman"/>
          <w:b w:val="0"/>
          <w:i w:val="0"/>
          <w:color w:val="2B2B2B"/>
          <w:sz w:val="24"/>
        </w:rPr>
        <w:t>Reasons: mixed technical, legal and relationship issues on a live site. Week 6 treats mechanism choice as procurement risk management. Weeks 7 and 8 match commercial issues to negotiation or mediation, technical valuation to a QS, and binding adjudication to arbitration. AMA 2023 and PPA 2007 sections 57 and 58 do not allow ADR to bypass ethics or approvals.</w:t>
      </w:r>
    </w:p>
    <w:p>
      <w:pPr>
        <w:spacing w:after="160" w:before="0" w:line="276" w:lineRule="auto"/>
        <w:ind w:firstLine="425"/>
        <w:jc w:val="both"/>
      </w:pPr>
      <w:r>
        <w:rPr>
          <w:rFonts w:ascii="Times New Roman" w:hAnsi="Times New Roman" w:eastAsia="Times New Roman"/>
          <w:b w:val="0"/>
          <w:i w:val="0"/>
          <w:color w:val="2B2B2B"/>
          <w:sz w:val="24"/>
        </w:rPr>
        <w:t>Authorise now: ethics investigation and possible further referral; confirmation of who may negotiate, approve and execute; appointment of a clean team and, if needed, a new mediator; a ban on unofficial disclosure of internal papers; and monitoring of any settlement that is signed.</w:t>
      </w:r>
    </w:p>
    <w:p>
      <w:pPr>
        <w:spacing w:before="320" w:after="160"/>
        <w:ind w:firstLine="0"/>
        <w:jc w:val="left"/>
        <w:pBdr>
          <w:bottom w:val="single" w:sz="12" w:space="4" w:color="1B365D"/>
        </w:pBdr>
      </w:pPr>
      <w:r>
        <w:rPr>
          <w:rFonts w:ascii="Times New Roman" w:hAnsi="Times New Roman" w:eastAsia="Times New Roman"/>
          <w:b/>
          <w:i w:val="0"/>
          <w:color w:val="1B365D"/>
          <w:sz w:val="28"/>
        </w:rPr>
        <w:t>References</w:t>
      </w:r>
    </w:p>
    <w:p>
      <w:pPr>
        <w:spacing w:after="80" w:before="0" w:line="276" w:lineRule="auto"/>
        <w:jc w:val="both"/>
      </w:pPr>
      <w:r>
        <w:rPr>
          <w:rFonts w:ascii="Times New Roman" w:hAnsi="Times New Roman" w:eastAsia="Times New Roman"/>
          <w:b w:val="0"/>
          <w:i w:val="0"/>
          <w:color w:val="2B2B2B"/>
          <w:sz w:val="22"/>
        </w:rPr>
        <w:t>Arbitration and Mediation Act 2023 (Nigeria), especially sections 72 and 76.</w:t>
      </w:r>
    </w:p>
    <w:p>
      <w:pPr>
        <w:spacing w:after="80" w:before="0" w:line="276" w:lineRule="auto"/>
        <w:jc w:val="both"/>
      </w:pPr>
      <w:r>
        <w:rPr>
          <w:rFonts w:ascii="Times New Roman" w:hAnsi="Times New Roman" w:eastAsia="Times New Roman"/>
          <w:b w:val="0"/>
          <w:i w:val="0"/>
          <w:color w:val="2B2B2B"/>
          <w:sz w:val="22"/>
        </w:rPr>
        <w:t>Public Procurement Act 2007 (as amended), especially sections 16, 57 and 58.</w:t>
      </w:r>
    </w:p>
    <w:p>
      <w:pPr>
        <w:spacing w:after="80" w:before="0" w:line="276" w:lineRule="auto"/>
        <w:jc w:val="both"/>
      </w:pPr>
      <w:r>
        <w:rPr>
          <w:rFonts w:ascii="Times New Roman" w:hAnsi="Times New Roman" w:eastAsia="Times New Roman"/>
          <w:b w:val="0"/>
          <w:i w:val="0"/>
          <w:color w:val="2B2B2B"/>
          <w:sz w:val="22"/>
        </w:rPr>
        <w:t>Constitution of the Federal Republic of Nigeria 1999 (as amended), Fifth Schedule, Code of Conduct for Public Officers.</w:t>
      </w:r>
    </w:p>
    <w:p>
      <w:pPr>
        <w:spacing w:after="80" w:before="0" w:line="276" w:lineRule="auto"/>
        <w:jc w:val="both"/>
      </w:pPr>
      <w:r>
        <w:rPr>
          <w:rFonts w:ascii="Times New Roman" w:hAnsi="Times New Roman" w:eastAsia="Times New Roman"/>
          <w:b w:val="0"/>
          <w:i w:val="0"/>
          <w:color w:val="2B2B2B"/>
          <w:sz w:val="22"/>
        </w:rPr>
        <w:t>Corrupt Practices and Other Related Offences Act 2000.</w:t>
      </w:r>
    </w:p>
    <w:p>
      <w:pPr>
        <w:spacing w:after="80" w:before="0" w:line="276" w:lineRule="auto"/>
        <w:jc w:val="both"/>
      </w:pPr>
      <w:r>
        <w:rPr>
          <w:rFonts w:ascii="Times New Roman" w:hAnsi="Times New Roman" w:eastAsia="Times New Roman"/>
          <w:b w:val="0"/>
          <w:i w:val="0"/>
          <w:color w:val="2B2B2B"/>
          <w:sz w:val="22"/>
        </w:rPr>
        <w:t>PRM 803 Week 6 Lecture Note, Introduction to Alternative Dispute Resolution, Federal University of Technology, Owerri.</w:t>
      </w:r>
    </w:p>
    <w:p>
      <w:pPr>
        <w:spacing w:after="80" w:before="0" w:line="276" w:lineRule="auto"/>
        <w:jc w:val="both"/>
      </w:pPr>
      <w:r>
        <w:rPr>
          <w:rFonts w:ascii="Times New Roman" w:hAnsi="Times New Roman" w:eastAsia="Times New Roman"/>
          <w:b w:val="0"/>
          <w:i w:val="0"/>
          <w:color w:val="2B2B2B"/>
          <w:sz w:val="22"/>
        </w:rPr>
        <w:t>PRM 803 Week 6 slides: negotiation process, BATNA, WATNA, ZOPA, positional and principled negotiation.</w:t>
      </w:r>
    </w:p>
    <w:p>
      <w:pPr>
        <w:spacing w:after="80" w:before="0" w:line="276" w:lineRule="auto"/>
        <w:jc w:val="both"/>
      </w:pPr>
      <w:r>
        <w:rPr>
          <w:rFonts w:ascii="Times New Roman" w:hAnsi="Times New Roman" w:eastAsia="Times New Roman"/>
          <w:b w:val="0"/>
          <w:i w:val="0"/>
          <w:color w:val="2B2B2B"/>
          <w:sz w:val="22"/>
        </w:rPr>
        <w:t>PRM 803 Week 8 Lecture Note, Ethics, Settlement and Expert Determination (file labelled week 7 lecture note in the course pack).</w:t>
      </w:r>
    </w:p>
    <w:p>
      <w:pPr>
        <w:spacing w:after="80" w:before="0" w:line="276" w:lineRule="auto"/>
        <w:jc w:val="both"/>
      </w:pPr>
      <w:r>
        <w:rPr>
          <w:rFonts w:ascii="Times New Roman" w:hAnsi="Times New Roman" w:eastAsia="Times New Roman"/>
          <w:b w:val="0"/>
          <w:i w:val="0"/>
          <w:color w:val="2B2B2B"/>
          <w:sz w:val="22"/>
        </w:rPr>
        <w:t>PRM 803 Week 7 slides, Ethics, Settlement and Expert Determination.</w:t>
      </w:r>
    </w:p>
    <w:p>
      <w:pPr>
        <w:spacing w:after="80" w:before="0" w:line="276" w:lineRule="auto"/>
        <w:jc w:val="both"/>
      </w:pPr>
      <w:r>
        <w:rPr>
          <w:rFonts w:ascii="Times New Roman" w:hAnsi="Times New Roman" w:eastAsia="Times New Roman"/>
          <w:b w:val="0"/>
          <w:i w:val="0"/>
          <w:color w:val="2B2B2B"/>
          <w:sz w:val="22"/>
        </w:rPr>
        <w:t>FAIR ADR Framework and nine-step professional decision framework as taught in Weeks 7 and 8.</w:t>
      </w:r>
    </w:p>
    <w:sectPr w:rsidR="00FC693F" w:rsidRPr="0006063C" w:rsidSect="00034616">
      <w:headerReference w:type="default" r:id="rId9"/>
      <w:footerReference w:type="default" r:id="rId10"/>
      <w:pgSz w:w="11909" w:h="16834"/>
      <w:pgMar w:top="1440" w:right="1440"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Bdr>
        <w:top w:val="single" w:sz="6" w:space="6" w:color="1B365D"/>
      </w:pBdr>
    </w:pPr>
    <w:r>
      <w:rPr>
        <w:rFonts w:ascii="Times New Roman" w:hAnsi="Times New Roman" w:eastAsia="Times New Roman"/>
        <w:b w:val="0"/>
        <w:i w:val="0"/>
        <w:color w:val="5C6570"/>
        <w:sz w:val="18"/>
      </w:rPr>
      <w:t xml:space="preserve">Federal University of Technology, Owerri  |  Page </w:t>
    </w:r>
    <w:r>
      <w:rPr>
        <w:rFonts w:ascii="Times New Roman" w:hAnsi="Times New Roman" w:eastAsia="Times New Roman"/>
        <w:b w:val="0"/>
        <w:i w:val="0"/>
        <w:color w:val="5C6570"/>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8" w:space="6" w:color="1B365D"/>
      </w:pBdr>
    </w:pPr>
    <w:r>
      <w:rPr>
        <w:rFonts w:ascii="Times New Roman" w:hAnsi="Times New Roman" w:eastAsia="Times New Roman"/>
        <w:b w:val="0"/>
        <w:i/>
        <w:color w:val="1B365D"/>
        <w:sz w:val="18"/>
      </w:rPr>
      <w:t>PRM 803  |  Weeks 6 to 8  |  Perfect build copy  |  Individual paper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2B2B2B"/>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