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dad2ce110e94b4c" /><Relationship Type="http://schemas.openxmlformats.org/package/2006/relationships/metadata/core-properties" Target="/docProps/core.xml" Id="Rcad967c5c60b438c" /><Relationship Type="http://schemas.openxmlformats.org/officeDocument/2006/relationships/extended-properties" Target="/docProps/app.xml" Id="Rdb070af9276f4716" /><Relationship Type="http://schemas.openxmlformats.org/officeDocument/2006/relationships/custom-properties" Target="/docProps/custom.xml" Id="R4a2ea95bfcce434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240"/>
        <w:jc w:val="center"/>
      </w:pPr>
      <w:r>
        <w:rPr>
          <w:b/>
          <w:sz w:val="56"/>
        </w:rPr>
        <w:t xml:space="preserve">Banking Credit Risk &amp; Loan Default Analysis</w:t>
      </w:r>
    </w:p>
    <w:p w14:paraId="00100002" w14:textId="00100003">
      <w:pPr>
        <w:spacing w:after="120"/>
        <w:jc w:val="center"/>
      </w:pPr>
      <w:r>
        <w:rPr>
          <w:b/>
          <w:sz w:val="28"/>
        </w:rPr>
        <w:t xml:space="preserve">Author: Mamashri Gupta</w:t>
      </w:r>
    </w:p>
    <w:p w14:paraId="00100004" w14:textId="00100005">
      <w:pPr>
        <w:spacing w:after="120"/>
        <w:jc w:val="center"/>
      </w:pPr>
      <w:r>
        <w:rPr>
          <w:sz w:val="24"/>
        </w:rPr>
        <w:t xml:space="preserve">AICTE | IBM SkillsBuild Data Analytics with AI Academic Internship 2026 | BharatCares</w:t>
      </w:r>
    </w:p>
    <w:p w14:paraId="00100006" w14:textId="00100007">
      <w:pPr>
        <w:spacing w:after="120"/>
        <w:jc w:val="center"/>
      </w:pPr>
      <w:r>
        <w:rPr>
          <w:sz w:val="22"/>
        </w:rPr>
        <w:t xml:space="preserve">Primary Tool: IBM Bob  |  Language: Python  |  Environment: Jupyter Notebook</w:t>
      </w:r>
    </w:p>
    <w:p w14:paraId="00100008" w14:textId="00100009">
      <w:pPr>
        <w:spacing w:after="480"/>
        <w:jc w:val="center"/>
      </w:pPr>
      <w:r>
        <w:rPr>
          <w:sz w:val="22"/>
        </w:rPr>
        <w:t xml:space="preserve">Dataset: Synthetic Banking Portfolio (5,000 records, seed=42)  |  Sector: Banking &amp; Financial Services</w:t>
      </w:r>
    </w:p>
    <w:p w14:paraId="0010000A" w14:textId="0010000B">
      <w:pPr>
        <w:pStyle w:val="Heading1"/>
        <w:spacing w:before="320" w:after="160"/>
      </w:pPr>
      <w:r>
        <w:rPr>
          <w:b/>
          <w:sz w:val="36"/>
        </w:rPr>
        <w:t xml:space="preserve">1. Executive Summary</w:t>
      </w:r>
    </w:p>
    <w:p w14:paraId="0010000C" w14:textId="0010000D">
      <w:pPr>
        <w:spacing w:after="160"/>
      </w:pPr>
      <w:r>
        <w:rPr>
          <w:sz w:val="22"/>
        </w:rPr>
        <w:t xml:space="preserve">This report presents a complete credit risk and loan default analysis of a synthetic banking portfolio containing 5,000 loan records. The project was developed as part of the AICTE | IBM SkillsBuild Data Analytics with AI Academic Internship 2026, using IBM Bob as the primary AI development tool and Python as the programming language.</w:t>
      </w:r>
    </w:p>
    <w:p w14:paraId="0010000E" w14:textId="0010000F">
      <w:pPr>
        <w:spacing w:after="160"/>
      </w:pPr>
      <w:r>
        <w:rPr>
          <w:sz w:val="22"/>
        </w:rPr>
        <w:t xml:space="preserve">The analysis identified a portfolio default rate of 15.98% on closed-outcome loans, with a total charged-off outstanding balance of $7,262,670.05 against a total loan principal of $107,483,929.04. Credit score, annual income, employment status, debt-to-income (DTI) ratio, loan purpose and loan term were all confirmed as statistically meaningful predictors of default risk. Six practical recommendations are provided for banking risk management teams.</w:t>
      </w:r>
    </w:p>
    <w:p w14:paraId="00100010" w14:textId="00100011">
      <w:pPr>
        <w:pStyle w:val="Heading1"/>
        <w:spacing w:before="320" w:after="160"/>
      </w:pPr>
      <w:r>
        <w:rPr>
          <w:b/>
          <w:sz w:val="36"/>
        </w:rPr>
        <w:t xml:space="preserve">2. Introduction &amp; Business Problem</w:t>
      </w:r>
    </w:p>
    <w:p w14:paraId="00100012" w14:textId="00100013">
      <w:pPr>
        <w:spacing w:after="160"/>
      </w:pPr>
      <w:r>
        <w:rPr>
          <w:sz w:val="22"/>
        </w:rPr>
        <w:t xml:space="preserve">Loan default is one of the most significant sources of financial loss for retail banks. When a borrower fails to repay a loan, the bank must write off the outstanding balance as a Charged-Off (bad) debt, directly impacting profitability, capital adequacy ratios (CAR) and regulatory compliance under frameworks such as Basel III/IV. The central business question: which borrower and loan characteristics are most strongly associated with loan default, and how can these insights improve credit risk management decisions?</w:t>
      </w:r>
    </w:p>
    <w:p w14:paraId="00100014" w14:textId="00100015">
      <w:pPr>
        <w:pStyle w:val="Heading1"/>
        <w:spacing w:before="320" w:after="160"/>
      </w:pPr>
      <w:r>
        <w:rPr>
          <w:b/>
          <w:sz w:val="36"/>
        </w:rPr>
        <w:t xml:space="preserve">3. Project Objectives</w:t>
      </w:r>
    </w:p>
    <w:p w14:paraId="00100016" w14:textId="00100017">
      <w:pPr>
        <w:spacing w:after="160"/>
      </w:pPr>
      <w:r>
        <w:rPr>
          <w:sz w:val="22"/>
        </w:rPr>
        <w:t xml:space="preserve">(1) Perform rigorous EDA on a 5,000-record synthetic loan portfolio. (2) Clean, validate and engineer meaningful features. (3) Calculate key credit-risk KPIs: default rate, outstanding exposure, charged-off balance, average loan amount, average interest rate. (4) Analyse default patterns by loan purpose, credit score band, income band, employment status and loan term. (5) Create ten publication-quality visualisations with narrative interpretations. (6) Deliver six actionable recommendations grounded in the data.</w:t>
      </w:r>
    </w:p>
    <w:p w14:paraId="00100018" w14:textId="00100019">
      <w:pPr>
        <w:pStyle w:val="Heading1"/>
        <w:spacing w:before="320" w:after="160"/>
      </w:pPr>
      <w:r>
        <w:rPr>
          <w:b/>
          <w:sz w:val="36"/>
        </w:rPr>
        <w:t xml:space="preserve">4. Dataset Description &amp; Data Dictionary</w:t>
      </w:r>
    </w:p>
    <w:p w14:paraId="0010001A" w14:textId="0010001B">
      <w:pPr>
        <w:spacing w:after="160"/>
      </w:pPr>
      <w:r>
        <w:rPr>
          <w:sz w:val="22"/>
        </w:rPr>
        <w:t xml:space="preserve">The dataset is a synthetic (programmatically generated) banking loan portfolio created using Python (numpy, pandas) with seed=42. It is NOT real customer data and was created solely for academic analysis. File: data/banking_credit_risk.csv. Records: 5,000. Columns: 15. Date range: January 2018 to December 2023. Licence: CC0 1.0 Universal (public domain).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8306"/>
      </w:tblGrid>
      <w:tr>
        <w:tc>
          <w:p w14:paraId="0010001C" w14:textId="0010001D"/>
        </w:tc>
      </w:tr>
    </w:tbl>
    <w:p w14:paraId="0010001E" w14:textId="0010001F">
      <w:pPr>
        <w:pStyle w:val="Heading1"/>
        <w:spacing w:before="320" w:after="160"/>
      </w:pPr>
      <w:r>
        <w:rPr>
          <w:b/>
          <w:sz w:val="36"/>
        </w:rPr>
        <w:t xml:space="preserve">5. Tools and Technologies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8306"/>
      </w:tblGrid>
      <w:tr>
        <w:tc>
          <w:p w14:paraId="00100020" w14:textId="00100021"/>
        </w:tc>
      </w:tr>
    </w:tbl>
    <w:p w14:paraId="00100022" w14:textId="00100023">
      <w:pPr>
        <w:pStyle w:val="Heading1"/>
        <w:spacing w:before="320" w:after="160"/>
      </w:pPr>
      <w:r>
        <w:rPr>
          <w:b/>
          <w:sz w:val="36"/>
        </w:rPr>
        <w:t xml:space="preserve">6. Project Methodology (CRISP-DM)</w:t>
      </w:r>
    </w:p>
    <w:p w14:paraId="00100024" w14:textId="00100025">
      <w:pPr>
        <w:spacing w:after="160"/>
      </w:pPr>
      <w:r>
        <w:rPr>
          <w:sz w:val="22"/>
        </w:rPr>
        <w:t xml:space="preserve">The project followed the standard CRISP-DM methodology: (1) Business Understanding — define the credit risk problem and KPI requirements. (2) Data Understanding — load dataset, inspect structure, types and distributions. (3) Data Preparation — validate, clean, handle missing values, engineer features. (4) Exploratory Data Analysis — analyse distributions and relationships. (5) Analysis — calculate KPIs and segment-level default rates. (6) Evaluation — interpret findings against the business problem. (7) Deployment — prepare the report, recommendations and GitHub-ready repository.</w:t>
      </w:r>
    </w:p>
    <w:p w14:paraId="00100026" w14:textId="00100027">
      <w:pPr>
        <w:pStyle w:val="Heading1"/>
        <w:spacing w:before="320" w:after="160"/>
      </w:pPr>
      <w:r>
        <w:rPr>
          <w:b/>
          <w:sz w:val="36"/>
        </w:rPr>
        <w:t xml:space="preserve">7. Data Cleaning Procedures</w:t>
      </w:r>
    </w:p>
    <w:p w14:paraId="00100028" w14:textId="00100029">
      <w:pPr>
        <w:spacing w:after="160"/>
      </w:pPr>
      <w:r>
        <w:rPr>
          <w:sz w:val="22"/>
        </w:rPr>
        <w:t xml:space="preserve">Eight data quality checks were implemented with Python assert statements: (1) Required columns — all 15 present. (2) Numeric dtypes — validated. (3) Missing values — zero found. (4) Duplicate loan_id — zero duplicates. (5) Non-negative loan amounts — confirmed. (6) Credit score range (300-850) — confirmed. (7) Date validation (2018-2023) — confirmed. (8) Loan status categories — all four documented values confirmed. No records were dropped or silently imputed.</w:t>
      </w:r>
    </w:p>
    <w:p w14:paraId="0010002A" w14:textId="0010002B">
      <w:pPr>
        <w:pStyle w:val="Heading1"/>
        <w:spacing w:before="320" w:after="160"/>
      </w:pPr>
      <w:r>
        <w:rPr>
          <w:b/>
          <w:sz w:val="36"/>
        </w:rPr>
        <w:t xml:space="preserve">8. Feature Engineering</w:t>
      </w:r>
    </w:p>
    <w:p w14:paraId="0010002C" w14:textId="0010002D">
      <w:pPr>
        <w:spacing w:after="160"/>
      </w:pPr>
      <w:r>
        <w:rPr>
          <w:sz w:val="22"/>
        </w:rPr>
        <w:t xml:space="preserve">Nine derived columns were created: is_default (binary flag), credit_score_band (5 FICO tiers), income_band (5 brackets), loan_amount_band (5 brackets), dti_ratio (annualised payment/income), risk_segment (High/Low composite), origination_year, origination_quarter, and term_label.</w:t>
      </w:r>
    </w:p>
    <w:p w14:paraId="0010002E" w14:textId="0010002F">
      <w:pPr>
        <w:pStyle w:val="Heading1"/>
        <w:spacing w:before="320" w:after="160"/>
      </w:pPr>
      <w:r>
        <w:rPr>
          <w:b/>
          <w:sz w:val="36"/>
        </w:rPr>
        <w:t xml:space="preserve">9. Financial &amp; Credit Risk KPIs</w:t>
      </w:r>
    </w:p>
    <w:p w14:paraId="00100030" w14:textId="00100031">
      <w:pPr>
        <w:spacing w:after="160"/>
      </w:pPr>
      <w:r>
        <w:rPr>
          <w:sz w:val="22"/>
        </w:rPr>
        <w:t xml:space="preserve">All KPIs below were calculated directly from the dataset. Values are reproducible by running the notebook with seed=42.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8306"/>
      </w:tblGrid>
      <w:tr>
        <w:tc>
          <w:p w14:paraId="00100032" w14:textId="00100033"/>
        </w:tc>
      </w:tr>
    </w:tbl>
    <w:p w14:paraId="00100034" w14:textId="00100035">
      <w:pPr>
        <w:spacing w:after="160"/>
      </w:pPr>
      <w:r>
        <w:rPr>
          <w:sz w:val="22"/>
        </w:rPr>
        <w:t xml:space="preserve">KPI Reference Table: Total Applications = 5,000 | Fully Paid = 3,834 | Charged Off (Defaults) = 729 | Current = 340 | Late 31-120 days = 97 | Closed-Outcome Loans = 4,563 | Default Rate = 15.98% | Total Loan Principal = $107,483,929.04 | Outstanding Exposure (non-paid) = $11,493,720.25 | Charged-Off Balance = $7,262,670.05 | Average Loan Amount = $21,496.79 | Average Interest Rate = 8.33% | Average Credit Score = 680.0 | Average Annual Income = $66,926.21 | Average DTI Ratio = 0.1348 | Late Loan Exposure = $1,166,624.69</w:t>
      </w:r>
    </w:p>
    <w:p w14:paraId="00100036" w14:textId="00100037">
      <w:pPr>
        <w:spacing w:after="240"/>
      </w:pPr>
      <w:r>
        <w:rPr>
          <w:sz w:val="20"/>
        </w:rPr>
        <w:t xml:space="preserve">NOTE: Default Rate denominator = Closed-Outcome Loans (Fully Paid + Charged Off) only. Current and Late loans are excluded as their final outcome remains uncertain, consistent with standard banking credit-risk practice.</w:t>
      </w:r>
    </w:p>
    <w:p w14:paraId="00100038" w14:textId="00100039">
      <w:pPr>
        <w:pStyle w:val="Heading1"/>
        <w:spacing w:before="320" w:after="160"/>
      </w:pPr>
      <w:r>
        <w:rPr>
          <w:b/>
          <w:sz w:val="36"/>
        </w:rPr>
        <w:t xml:space="preserve">10. Exploratory Data Analysis &amp; Visualisations</w:t>
      </w:r>
    </w:p>
    <w:p w14:paraId="0010003A" w14:textId="0010003B">
      <w:pPr>
        <w:spacing w:after="160"/>
      </w:pPr>
      <w:r>
        <w:rPr>
          <w:sz w:val="22"/>
        </w:rPr>
        <w:t xml:space="preserve">Figure 1 — Loan Status Distribution: The portfolio is dominated by Fully Paid loans (76.7%), indicating most borrowers meet their obligations. Charged Off loans (14.6%) represent a substantial credit loss risk. The 340 Current (6.8%) and 97 Late (1.9%) loans remain active with uncertain outcomes. The Late segment requires close monitoring.</w:t>
      </w:r>
    </w:p>
    <w:p w14:paraId="0010003C" w14:textId="0010003D">
      <w:pPr>
        <w:spacing w:after="160"/>
      </w:pPr>
      <w:r>
        <w:rPr>
          <w:sz w:val="22"/>
        </w:rPr>
        <w:t xml:space="preserve">Figure 2 — Default Rate by Loan Purpose: Vacation and Business loans have the highest default rates, exceeding the 15.98% portfolio average. These are discretionary or revenue-uncertain categories. Home Improvement and Auto loans exhibit below-average default rates due to tangible collateral or clear use-of-proceeds. Banks should apply stricter underwriting and higher risk premiums to Vacation and Business loan categories.</w:t>
      </w:r>
    </w:p>
    <w:p w14:paraId="0010003E" w14:textId="0010003F">
      <w:pPr>
        <w:spacing w:after="160"/>
      </w:pPr>
      <w:r>
        <w:rPr>
          <w:sz w:val="22"/>
        </w:rPr>
        <w:t xml:space="preserve">Figure 3 — Default Rate by Credit Score Band: Clear monotonic inverse relationship between credit score and default rate. Very Poor (300-579) borrowers default at dramatically higher rates than Exceptional (800-850) borrowers. Credit score is the strongest single predictor of default risk in this portfolio. Loans to borrowers below 580 should require enhanced due diligence and risk-adjusted pricing.</w:t>
      </w:r>
    </w:p>
    <w:p w14:paraId="00100040" w14:textId="00100041">
      <w:pPr>
        <w:spacing w:after="160"/>
      </w:pPr>
      <w:r>
        <w:rPr>
          <w:sz w:val="22"/>
        </w:rPr>
        <w:t xml:space="preserve">Figure 4 — Default Rate by Annual Income Band: Default rates are highest among borrowers earning &lt;$30K/year and decrease steadily as income rises. Lower-income households have less capacity to absorb financial shocks. Income verification and affordability assessments should be more rigorous for borrowers with annual incomes below $30,000.</w:t>
      </w:r>
    </w:p>
    <w:p w14:paraId="00100042" w14:textId="00100043">
      <w:pPr>
        <w:spacing w:after="160"/>
      </w:pPr>
      <w:r>
        <w:rPr>
          <w:sz w:val="22"/>
        </w:rPr>
        <w:t xml:space="preserve">Figure 5 — Default Rate by Employment Status: Unemployed borrowers have the highest default rate, nearly double the portfolio average. Part-Time workers also default at above-average rates. Full-Time employed and Retired borrowers show below-average rates. Employment status verification must be a mandatory underwriting step.</w:t>
      </w:r>
    </w:p>
    <w:p w14:paraId="00100044" w14:textId="00100045">
      <w:pPr>
        <w:spacing w:after="160"/>
      </w:pPr>
      <w:r>
        <w:rPr>
          <w:sz w:val="22"/>
        </w:rPr>
        <w:t xml:space="preserve">Figure 6 — Financial Exposure Analysis: Despite Vacation loans having the highest default rate, Debt Consolidation loans generate the highest absolute charged-off balance due to high origination volumes. This highlights the distinction between probability-of-default risk and loss-given-default risk. High Risk borrowers carry disproportionately large outstanding exposure relative to their portfolio count.</w:t>
      </w:r>
    </w:p>
    <w:p w14:paraId="00100046" w14:textId="00100047">
      <w:pPr>
        <w:spacing w:after="160"/>
      </w:pPr>
      <w:r>
        <w:rPr>
          <w:sz w:val="22"/>
        </w:rPr>
        <w:t xml:space="preserve">Figure 7 — Loan Default Trend Over Time (2018-2023): Origination volumes and default rates are approximately consistent across years in this synthetic dataset. In a real portfolio, this chart would reveal macroeconomic effects such as the COVID-19 pandemic (2020) or interest rate cycles on default rates.</w:t>
      </w:r>
    </w:p>
    <w:p w14:paraId="00100048" w14:textId="00100049">
      <w:pPr>
        <w:spacing w:after="160"/>
      </w:pPr>
      <w:r>
        <w:rPr>
          <w:sz w:val="22"/>
        </w:rPr>
        <w:t xml:space="preserve">Figure 8 — Correlation Heatmap: Top correlations with is_default: Interest Rate (+, strong), Credit Score (-, strong), Annual Income (-, moderate), DTI Ratio (+, moderate). The -0.86 correlation between credit_score and interest_rate confirms correct risk-based pricing in the synthetic portfolio.</w:t>
      </w:r>
    </w:p>
    <w:p w14:paraId="0010004A" w14:textId="0010004B">
      <w:pPr>
        <w:spacing w:after="160"/>
      </w:pPr>
      <w:r>
        <w:rPr>
          <w:sz w:val="22"/>
        </w:rPr>
        <w:t xml:space="preserve">Figure 9 — High-Risk vs Low-Risk Segment Comparison: High-risk borrowers have lower credit scores, higher interest rates, lower incomes, higher DTI ratios, and substantially higher default rates than low-risk borrowers. This validates the composite risk-scoring approach.</w:t>
      </w:r>
    </w:p>
    <w:p w14:paraId="0010004C" w14:textId="0010004D">
      <w:pPr>
        <w:spacing w:after="160"/>
      </w:pPr>
      <w:r>
        <w:rPr>
          <w:sz w:val="22"/>
        </w:rPr>
        <w:t xml:space="preserve">Figure 10 — Default Rate by Loan Term: Longer loan terms (48 and 60 months) are associated with higher default rates. The 60-month term has the highest default rate of all terms, suggesting that maturity risk may not be fully priced into current interest rate schedules.</w:t>
      </w:r>
    </w:p>
    <w:p w14:paraId="0010004E" w14:textId="0010004F">
      <w:pPr>
        <w:pStyle w:val="Heading1"/>
        <w:spacing w:before="320" w:after="160"/>
      </w:pPr>
      <w:r>
        <w:rPr>
          <w:b/>
          <w:sz w:val="36"/>
        </w:rPr>
        <w:t xml:space="preserve">11. Major Findings</w:t>
      </w:r>
    </w:p>
    <w:p w14:paraId="00100050" w14:textId="00100051">
      <w:pPr>
        <w:spacing w:after="120"/>
      </w:pPr>
      <w:r>
        <w:rPr>
          <w:sz w:val="22"/>
        </w:rPr>
        <w:t xml:space="preserve">Finding 1: Portfolio default rate is 15.98% on closed-outcome loans. 729 loans charged off out of 4,563 with a known final outcome. Charged-off outstanding balance: $7,262,670.05.</w:t>
      </w:r>
    </w:p>
    <w:p w14:paraId="00100052" w14:textId="00100053">
      <w:pPr>
        <w:spacing w:after="120"/>
      </w:pPr>
      <w:r>
        <w:rPr>
          <w:sz w:val="22"/>
        </w:rPr>
        <w:t xml:space="preserve">Finding 2: Credit score is the primary predictor. Very Poor (300-579) borrowers default at more than 3x the portfolio average. Correlation between credit score and default flag is the strongest single-variable relationship.</w:t>
      </w:r>
    </w:p>
    <w:p w14:paraId="00100054" w14:textId="00100055">
      <w:pPr>
        <w:spacing w:after="120"/>
      </w:pPr>
      <w:r>
        <w:rPr>
          <w:sz w:val="22"/>
        </w:rPr>
        <w:t xml:space="preserve">Finding 3: Income and employment drive affordability risk. Borrowers earning &lt;$30K and unemployed borrowers show significantly elevated default rates. Income stability is a critical affordability indicator.</w:t>
      </w:r>
    </w:p>
    <w:p w14:paraId="00100056" w14:textId="00100057">
      <w:pPr>
        <w:spacing w:after="120"/>
      </w:pPr>
      <w:r>
        <w:rPr>
          <w:sz w:val="22"/>
        </w:rPr>
        <w:t xml:space="preserve">Finding 4: Loan purpose segments risk. Vacation and Business loans have above-average default rates. Debt Consolidation generates the highest absolute charged-off balance due to high origination volumes.</w:t>
      </w:r>
    </w:p>
    <w:p w14:paraId="00100058" w14:textId="00100059">
      <w:pPr>
        <w:spacing w:after="120"/>
      </w:pPr>
      <w:r>
        <w:rPr>
          <w:sz w:val="22"/>
        </w:rPr>
        <w:t xml:space="preserve">Finding 5: Loan term amplifies risk. 60-month loans have higher default rates than shorter-term products. Maturity risk may not be fully priced into current interest rate schedules.</w:t>
      </w:r>
    </w:p>
    <w:p w14:paraId="0010005A" w14:textId="0010005B">
      <w:pPr>
        <w:spacing w:after="160"/>
      </w:pPr>
      <w:r>
        <w:rPr>
          <w:sz w:val="22"/>
        </w:rPr>
        <w:t xml:space="preserve">Finding 6: At-risk pipeline. 97 Late loans carry $1,166,624.69 in outstanding balance. If these transition to Charged Off, total charged-off balance rises to approximately $8.4 million.</w:t>
      </w:r>
    </w:p>
    <w:p w14:paraId="0010005C" w14:textId="0010005D">
      <w:pPr>
        <w:pStyle w:val="Heading1"/>
        <w:spacing w:before="320" w:after="160"/>
      </w:pPr>
      <w:r>
        <w:rPr>
          <w:b/>
          <w:sz w:val="36"/>
        </w:rPr>
        <w:t xml:space="preserve">12. Business Recommendations</w:t>
      </w:r>
    </w:p>
    <w:p w14:paraId="0010005E" w14:textId="0010005F">
      <w:pPr>
        <w:spacing w:after="160"/>
      </w:pPr>
      <w:r>
        <w:rPr>
          <w:sz w:val="22"/>
        </w:rPr>
        <w:t xml:space="preserve">Recommendation 1 — Credit Score Floors: Set minimum credit score thresholds by loan type. Vacation loans: minimum 680. Business loans: require business financials. Auto/Home Improvement: may accept 620+ with collateral.</w:t>
      </w:r>
    </w:p>
    <w:p w14:paraId="00100060" w14:textId="00100061">
      <w:pPr>
        <w:spacing w:after="160"/>
      </w:pPr>
      <w:r>
        <w:rPr>
          <w:sz w:val="22"/>
        </w:rPr>
        <w:t xml:space="preserve">Recommendation 2 — Affordability Assessment: Introduce maximum DTI of 35% for borrowers earning &lt;$40,000. Require bank statements and payslips before approval in this segment.</w:t>
      </w:r>
    </w:p>
    <w:p w14:paraId="00100062" w14:textId="00100063">
      <w:pPr>
        <w:spacing w:after="160"/>
      </w:pPr>
      <w:r>
        <w:rPr>
          <w:sz w:val="22"/>
        </w:rPr>
        <w:t xml:space="preserve">Recommendation 3 — Restrict Lending to Unemployed: Decline unsecured loans; restrict to secured products with LTV ≤ 70%; require co-signers with verified income for any approved unsecured loan.</w:t>
      </w:r>
    </w:p>
    <w:p w14:paraId="00100064" w14:textId="00100065">
      <w:pPr>
        <w:spacing w:after="160"/>
      </w:pPr>
      <w:r>
        <w:rPr>
          <w:sz w:val="22"/>
        </w:rPr>
        <w:t xml:space="preserve">Recommendation 4 — Early-Warning Monitoring: The 97 Late loans represent $1.17M at-risk exposure. Establish 14-day automatic outreach at first missed payment, restructuring offers at 30 days past due, collections escalation at 60+ days.</w:t>
      </w:r>
    </w:p>
    <w:p w14:paraId="00100066" w14:textId="00100067">
      <w:pPr>
        <w:spacing w:after="160"/>
      </w:pPr>
      <w:r>
        <w:rPr>
          <w:sz w:val="22"/>
        </w:rPr>
        <w:t xml:space="preserve">Recommendation 5 — 60-Month Product Pricing Review: Conduct break-even rate analysis for 60-month products. Consider introducing a maturity premium of 50-75 basis points.</w:t>
      </w:r>
    </w:p>
    <w:p w14:paraId="00100068" w14:textId="00100069">
      <w:pPr>
        <w:spacing w:after="160"/>
      </w:pPr>
      <w:r>
        <w:rPr>
          <w:sz w:val="22"/>
        </w:rPr>
        <w:t xml:space="preserve">Recommendation 6 — Predictive Default Scoring Model (Future): Credit score, income, DTI, employment status, loan term and purpose are all meaningful predictors. A logistic regression or gradient-boosted classifier would enable continuous probability scoring for more precise credit decisioning.</w:t>
      </w:r>
    </w:p>
    <w:p w14:paraId="0010006A" w14:textId="0010006B">
      <w:pPr>
        <w:pStyle w:val="Heading1"/>
        <w:spacing w:before="320" w:after="160"/>
      </w:pPr>
      <w:r>
        <w:rPr>
          <w:b/>
          <w:sz w:val="36"/>
        </w:rPr>
        <w:t xml:space="preserve">13. Limitations and Assumptions</w:t>
      </w:r>
    </w:p>
    <w:p w14:paraId="0010006C" w14:textId="0010006D">
      <w:pPr>
        <w:spacing w:after="160"/>
      </w:pPr>
      <w:r>
        <w:rPr>
          <w:sz w:val="22"/>
        </w:rPr>
        <w:t xml:space="preserve">(1) Synthetic Data: Results are based on a generated dataset and should not be extrapolated to real lending decisions without validation on actual data. (2) No Macroeconomic Variables: GDP, unemployment cycles and interest rate environments are not modelled. (3) Static Snapshot: Single observation point per loan; real analysis requires longitudinal/vintage analysis. (4) Default Definition: Only Charged Off loans treated as defaults. (5) No ML Model: Descriptive analytics only; a predictive model would be needed for production. (6) Outstanding Balance Approximation: Standard amortisation formula used; real records include prepayments and fees.</w:t>
      </w:r>
    </w:p>
    <w:p w14:paraId="0010006E" w14:textId="0010006F">
      <w:pPr>
        <w:pStyle w:val="Heading1"/>
        <w:spacing w:before="320" w:after="160"/>
      </w:pPr>
      <w:r>
        <w:rPr>
          <w:b/>
          <w:sz w:val="36"/>
        </w:rPr>
        <w:t xml:space="preserve">14. Conclusion</w:t>
      </w:r>
    </w:p>
    <w:p w14:paraId="00100070" w14:textId="00100071">
      <w:pPr>
        <w:spacing w:after="160"/>
      </w:pPr>
      <w:r>
        <w:rPr>
          <w:sz w:val="22"/>
        </w:rPr>
        <w:t xml:space="preserve">This project delivered a complete end-to-end credit risk analysis of a 5,000-record synthetic loan portfolio. Credit score, annual income, employment status, DTI ratio, loan purpose and loan term are all confirmed as meaningful predictors of default risk. Portfolio default rate: 15.98%. Charged-off outstanding balance: $7,262,670.05. Total principal: $107,483,929.04. Six actionable recommendations were provided. All findings are fully reproducible by running MamashriGupta_BankingRiskAnalysis.ipynb with seed=42.</w:t>
      </w:r>
    </w:p>
    <w:p w14:paraId="00100072" w14:textId="00100073">
      <w:pPr>
        <w:pStyle w:val="Heading1"/>
        <w:spacing w:before="320" w:after="160"/>
      </w:pPr>
      <w:r>
        <w:rPr>
          <w:b/>
          <w:sz w:val="36"/>
        </w:rPr>
        <w:t xml:space="preserve">15. References and Dataset Attribution</w:t>
      </w:r>
    </w:p>
    <w:p w14:paraId="00100074" w14:textId="00100075">
      <w:pPr>
        <w:spacing w:after="240"/>
      </w:pPr>
      <w:r>
        <w:rPr>
          <w:sz w:val="22"/>
        </w:rPr>
        <w:t xml:space="preserve">1. Synthetic dataset generated by Mamashri Gupta, Python seed=42, CC0 1.0 Universal. See data/DATA_SOURCE.md. | 2. Default-probability model inspired by LendingClub dataset (Kaggle, CC BY 4.0). No real records used. | 3. Basel Committee on Banking Supervision (2017). Basel III. Bank for International Settlements. | 4. Anderson, R. (2007). The Credit Scoring Toolkit. Oxford University Press. | 5. IBM SkillsBuild Data Analytics with AI, AICTE BharatCares 2026, https://skillsbuild.org | 6. pandas: https://pandas.pydata.org | 7. seaborn: https://seaborn.pydata.org</w:t>
      </w:r>
    </w:p>
    <w:p w14:paraId="00100076" w14:textId="00100077">
      <w:pPr>
        <w:spacing w:after="120"/>
        <w:jc w:val="center"/>
      </w:pPr>
      <w:r>
        <w:rPr>
          <w:sz w:val="20"/>
        </w:rPr>
        <w:t xml:space="preserve">Report generated by IBM Bob | AICTE IBM SkillsBuild Data Analytics with AI Academic Internship 2026 | Author: Mamashri Gupta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3e3886fcd72427a" /><Relationship Type="http://schemas.openxmlformats.org/officeDocument/2006/relationships/styles" Target="/word/styles.xml" Id="R571d848fcb1d42b6" /><Relationship Type="http://schemas.openxmlformats.org/officeDocument/2006/relationships/theme" Target="/word/theme/theme1.xml" Id="Rce015204dac246cb" /><Relationship Type="http://schemas.openxmlformats.org/officeDocument/2006/relationships/numbering" Target="/word/numbering.xml" Id="R4c6806c373d547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2026-10-11T11:30:25Z</dcterms:created>
  <cp:lastModifiedBy>OfficeCLI</cp:lastModifiedBy>
  <dcterms:modified xsi:type="dcterms:W3CDTF">2026-10-11T11:30:25Z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1.0.156</vt:lpwstr>
  </op:property>
  <op:property fmtid="{D5CDD505-2E9C-101B-9397-08002B2CF9AE}" pid="3" name="OfficeCLI.LastModified">
    <vt:lpwstr xmlns:vt="http://schemas.openxmlformats.org/officeDocument/2006/docPropsVTypes">2026-10-11T11:31:52Z</vt:lpwstr>
  </op:property>
</op:Properties>
</file>