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0"/>
        <w:rPr/>
      </w:pPr>
      <w:r>
        <w:rPr/>
      </w:r>
    </w:p>
    <w:p>
      <w:pPr>
        <w:pStyle w:val="Normal"/>
        <w:spacing w:before="0" w:after="80"/>
        <w:jc w:val="center"/>
        <w:rPr/>
      </w:pPr>
      <w:r>
        <w:rPr>
          <w:rFonts w:eastAsia="Arial" w:cs="Arial"/>
          <w:b/>
          <w:bCs/>
          <w:color w:val="1B3A6B"/>
          <w:sz w:val="52"/>
          <w:szCs w:val="52"/>
        </w:rPr>
        <w:t>THE FORK IN THE ROAD:</w:t>
      </w:r>
    </w:p>
    <w:p>
      <w:pPr>
        <w:pStyle w:val="Normal"/>
        <w:spacing w:before="0" w:after="60"/>
        <w:jc w:val="center"/>
        <w:rPr/>
      </w:pPr>
      <w:r>
        <w:rPr>
          <w:rFonts w:eastAsia="Arial" w:cs="Arial"/>
          <w:i/>
          <w:iCs/>
          <w:color w:val="2563A8"/>
          <w:sz w:val="30"/>
          <w:szCs w:val="30"/>
        </w:rPr>
        <w:t>How LibreOffice Was Born from a Crisis of Trust</w:t>
      </w:r>
    </w:p>
    <w:p>
      <w:pPr>
        <w:pStyle w:val="Normal"/>
        <w:pBdr>
          <w:bottom w:val="single" w:sz="10" w:space="10" w:color="2563A8"/>
        </w:pBdr>
        <w:spacing w:before="0" w:after="500"/>
        <w:jc w:val="center"/>
        <w:rPr/>
      </w:pPr>
      <w:r>
        <w:rPr>
          <w:rFonts w:eastAsia="Arial" w:cs="Arial"/>
          <w:color w:val="444444"/>
          <w:sz w:val="21"/>
          <w:szCs w:val="21"/>
        </w:rPr>
        <w:t>A Case Study in Open Source Governance, Community, and the Ethics of Control</w:t>
      </w:r>
    </w:p>
    <w:p>
      <w:pPr>
        <w:pStyle w:val="Normal"/>
        <w:spacing w:before="300" w:after="0"/>
        <w:rPr/>
      </w:pPr>
      <w:r>
        <w:rPr/>
      </w:r>
    </w:p>
    <w:tbl>
      <w:tblPr>
        <w:tblW w:w="9386" w:type="dxa"/>
        <w:jc w:val="start"/>
        <w:tblInd w:w="0" w:type="dxa"/>
        <w:tblLayout w:type="fixed"/>
        <w:tblCellMar>
          <w:top w:w="120" w:type="dxa"/>
          <w:start w:w="200" w:type="dxa"/>
          <w:bottom w:w="120" w:type="dxa"/>
          <w:end w:w="200" w:type="dxa"/>
        </w:tblCellMar>
      </w:tblPr>
      <w:tblGrid>
        <w:gridCol w:w="3199"/>
        <w:gridCol w:w="6187"/>
      </w:tblGrid>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Student Name</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Rounak Hati</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Registration Number</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24MIM10078</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Slot</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F11</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Date of Submission</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31 March 2026</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Course</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Open Source Software (NGMC)</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Assignment Type</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Individual Case Study</w:t>
            </w:r>
          </w:p>
        </w:tc>
      </w:tr>
      <w:tr>
        <w:trPr/>
        <w:tc>
          <w:tcPr>
            <w:tcW w:w="3199" w:type="dxa"/>
            <w:tcBorders>
              <w:top w:val="single" w:sz="2" w:space="0" w:color="C0C0C0"/>
              <w:start w:val="single" w:sz="2" w:space="0" w:color="C0C0C0"/>
              <w:bottom w:val="single" w:sz="2" w:space="0" w:color="C0C0C0"/>
              <w:end w:val="single" w:sz="2" w:space="0" w:color="C0C0C0"/>
            </w:tcBorders>
            <w:shd w:fill="D6E8F5" w:val="clear"/>
          </w:tcPr>
          <w:p>
            <w:pPr>
              <w:pStyle w:val="Normal"/>
              <w:rPr/>
            </w:pPr>
            <w:r>
              <w:rPr>
                <w:rFonts w:eastAsia="Arial" w:cs="Arial"/>
                <w:b/>
                <w:bCs/>
                <w:color w:val="1B3A6B"/>
                <w:sz w:val="22"/>
                <w:szCs w:val="22"/>
              </w:rPr>
              <w:t>Operating System</w:t>
            </w:r>
          </w:p>
        </w:tc>
        <w:tc>
          <w:tcPr>
            <w:tcW w:w="6187" w:type="dxa"/>
            <w:tcBorders>
              <w:top w:val="single" w:sz="2" w:space="0" w:color="C0C0C0"/>
              <w:start w:val="single" w:sz="2" w:space="0" w:color="C0C0C0"/>
              <w:bottom w:val="single" w:sz="2" w:space="0" w:color="C0C0C0"/>
              <w:end w:val="single" w:sz="2" w:space="0" w:color="C0C0C0"/>
            </w:tcBorders>
          </w:tcPr>
          <w:p>
            <w:pPr>
              <w:pStyle w:val="Normal"/>
              <w:rPr/>
            </w:pPr>
            <w:r>
              <w:rPr>
                <w:rFonts w:eastAsia="Arial" w:cs="Arial"/>
                <w:color w:val="1A1A1A"/>
                <w:sz w:val="22"/>
                <w:szCs w:val="22"/>
              </w:rPr>
              <w:t>Fedora Linux 43 (KDE Plasma Desktop Edition)</w:t>
            </w:r>
          </w:p>
        </w:tc>
      </w:tr>
    </w:tbl>
    <w:p>
      <w:pPr>
        <w:pStyle w:val="Normal"/>
        <w:spacing w:before="320" w:after="0"/>
        <w:rPr/>
      </w:pPr>
      <w:r>
        <w:rPr/>
      </w:r>
    </w:p>
    <w:p>
      <w:pPr>
        <w:pStyle w:val="Normal"/>
        <w:spacing w:before="0" w:after="0"/>
        <w:jc w:val="center"/>
        <w:rPr/>
      </w:pPr>
      <w:r>
        <w:rPr>
          <w:rFonts w:eastAsia="Arial" w:cs="Arial"/>
          <w:i/>
          <w:iCs/>
          <w:color w:val="444444"/>
          <w:sz w:val="20"/>
          <w:szCs w:val="20"/>
        </w:rPr>
        <w:t>Max Marks: 100  |  Submission: VITyarthi Portal</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Evaluation Rubric</w:t>
      </w:r>
    </w:p>
    <w:p>
      <w:pPr>
        <w:pStyle w:val="Normal"/>
        <w:spacing w:before="120" w:after="0"/>
        <w:rPr/>
      </w:pPr>
      <w:r>
        <w:rPr/>
      </w:r>
    </w:p>
    <w:tbl>
      <w:tblPr>
        <w:tblW w:w="9386" w:type="dxa"/>
        <w:jc w:val="start"/>
        <w:tblInd w:w="0" w:type="dxa"/>
        <w:tblLayout w:type="fixed"/>
        <w:tblCellMar>
          <w:top w:w="100" w:type="dxa"/>
          <w:start w:w="180" w:type="dxa"/>
          <w:bottom w:w="100" w:type="dxa"/>
          <w:end w:w="180" w:type="dxa"/>
        </w:tblCellMar>
      </w:tblPr>
      <w:tblGrid>
        <w:gridCol w:w="2400"/>
        <w:gridCol w:w="5385"/>
        <w:gridCol w:w="1601"/>
      </w:tblGrid>
      <w:tr>
        <w:trPr>
          <w:tblHeader w:val="true"/>
        </w:trPr>
        <w:tc>
          <w:tcPr>
            <w:tcW w:w="2400" w:type="dxa"/>
            <w:tcBorders>
              <w:top w:val="single" w:sz="2" w:space="0" w:color="C0C0C0"/>
              <w:start w:val="single" w:sz="2" w:space="0" w:color="C0C0C0"/>
              <w:bottom w:val="single" w:sz="2" w:space="0" w:color="C0C0C0"/>
              <w:end w:val="single" w:sz="2" w:space="0" w:color="C0C0C0"/>
            </w:tcBorders>
            <w:shd w:fill="1B3A6B" w:val="clear"/>
          </w:tcPr>
          <w:p>
            <w:pPr>
              <w:pStyle w:val="Normal"/>
              <w:jc w:val="both"/>
              <w:rPr/>
            </w:pPr>
            <w:r>
              <w:rPr>
                <w:rFonts w:eastAsia="Arial" w:cs="Arial"/>
                <w:b/>
                <w:bCs/>
                <w:color w:val="FFFFFF"/>
                <w:sz w:val="21"/>
                <w:szCs w:val="21"/>
              </w:rPr>
              <w:t>Section</w:t>
            </w:r>
          </w:p>
        </w:tc>
        <w:tc>
          <w:tcPr>
            <w:tcW w:w="5385" w:type="dxa"/>
            <w:tcBorders>
              <w:top w:val="single" w:sz="2" w:space="0" w:color="C0C0C0"/>
              <w:start w:val="single" w:sz="2" w:space="0" w:color="C0C0C0"/>
              <w:bottom w:val="single" w:sz="2" w:space="0" w:color="C0C0C0"/>
              <w:end w:val="single" w:sz="2" w:space="0" w:color="C0C0C0"/>
            </w:tcBorders>
            <w:shd w:fill="1B3A6B" w:val="clear"/>
          </w:tcPr>
          <w:p>
            <w:pPr>
              <w:pStyle w:val="Normal"/>
              <w:jc w:val="both"/>
              <w:rPr/>
            </w:pPr>
            <w:r>
              <w:rPr>
                <w:rFonts w:eastAsia="Arial" w:cs="Arial"/>
                <w:b/>
                <w:bCs/>
                <w:color w:val="FFFFFF"/>
                <w:sz w:val="21"/>
                <w:szCs w:val="21"/>
              </w:rPr>
              <w:t>What we look for</w:t>
            </w:r>
          </w:p>
        </w:tc>
        <w:tc>
          <w:tcPr>
            <w:tcW w:w="1601" w:type="dxa"/>
            <w:tcBorders>
              <w:top w:val="single" w:sz="2" w:space="0" w:color="C0C0C0"/>
              <w:start w:val="single" w:sz="2" w:space="0" w:color="C0C0C0"/>
              <w:bottom w:val="single" w:sz="2" w:space="0" w:color="C0C0C0"/>
              <w:end w:val="single" w:sz="2" w:space="0" w:color="C0C0C0"/>
            </w:tcBorders>
            <w:shd w:fill="1B3A6B" w:val="clear"/>
          </w:tcPr>
          <w:p>
            <w:pPr>
              <w:pStyle w:val="Normal"/>
              <w:jc w:val="both"/>
              <w:rPr/>
            </w:pPr>
            <w:r>
              <w:rPr>
                <w:rFonts w:eastAsia="Arial" w:cs="Arial"/>
                <w:b/>
                <w:bCs/>
                <w:color w:val="FFFFFF"/>
                <w:sz w:val="21"/>
                <w:szCs w:val="21"/>
              </w:rPr>
              <w:t>Marks</w:t>
            </w:r>
          </w:p>
        </w:tc>
      </w:tr>
      <w:tr>
        <w:trPr/>
        <w:tc>
          <w:tcPr>
            <w:tcW w:w="2400" w:type="dxa"/>
            <w:tcBorders>
              <w:top w:val="single" w:sz="2" w:space="0" w:color="C0C0C0"/>
              <w:start w:val="single" w:sz="2" w:space="0" w:color="C0C0C0"/>
              <w:bottom w:val="single" w:sz="2" w:space="0" w:color="C0C0C0"/>
              <w:end w:val="single" w:sz="2" w:space="0" w:color="C0C0C0"/>
            </w:tcBorders>
            <w:shd w:fill="D6E8F5" w:val="clear"/>
          </w:tcPr>
          <w:p>
            <w:pPr>
              <w:pStyle w:val="Normal"/>
              <w:jc w:val="both"/>
              <w:rPr/>
            </w:pPr>
            <w:r>
              <w:rPr>
                <w:rFonts w:eastAsia="Arial" w:cs="Arial"/>
                <w:b/>
                <w:bCs/>
                <w:color w:val="1A1A1A"/>
                <w:sz w:val="20"/>
                <w:szCs w:val="20"/>
              </w:rPr>
              <w:t>Section A — Context</w:t>
            </w:r>
          </w:p>
        </w:tc>
        <w:tc>
          <w:tcPr>
            <w:tcW w:w="5385"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Accuracy, clarity, and evidence that you understood the structural issues, not just the timeline</w:t>
            </w:r>
          </w:p>
        </w:tc>
        <w:tc>
          <w:tcPr>
            <w:tcW w:w="1601"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15</w:t>
            </w:r>
          </w:p>
        </w:tc>
      </w:tr>
      <w:tr>
        <w:trPr/>
        <w:tc>
          <w:tcPr>
            <w:tcW w:w="2400" w:type="dxa"/>
            <w:tcBorders>
              <w:top w:val="single" w:sz="2" w:space="0" w:color="C0C0C0"/>
              <w:start w:val="single" w:sz="2" w:space="0" w:color="C0C0C0"/>
              <w:bottom w:val="single" w:sz="2" w:space="0" w:color="C0C0C0"/>
              <w:end w:val="single" w:sz="2" w:space="0" w:color="C0C0C0"/>
            </w:tcBorders>
            <w:shd w:fill="D6E8F5" w:val="clear"/>
          </w:tcPr>
          <w:p>
            <w:pPr>
              <w:pStyle w:val="Normal"/>
              <w:jc w:val="both"/>
              <w:rPr/>
            </w:pPr>
            <w:r>
              <w:rPr>
                <w:rFonts w:eastAsia="Arial" w:cs="Arial"/>
                <w:b/>
                <w:bCs/>
                <w:color w:val="1A1A1A"/>
                <w:sz w:val="20"/>
                <w:szCs w:val="20"/>
              </w:rPr>
              <w:t>Section B — Ethics</w:t>
            </w:r>
          </w:p>
        </w:tc>
        <w:tc>
          <w:tcPr>
            <w:tcW w:w="5385" w:type="dxa"/>
            <w:tcBorders>
              <w:top w:val="single" w:sz="2" w:space="0" w:color="C0C0C0"/>
              <w:start w:val="single" w:sz="2" w:space="0" w:color="C0C0C0"/>
              <w:bottom w:val="single" w:sz="2" w:space="0" w:color="C0C0C0"/>
              <w:end w:val="single" w:sz="2" w:space="0" w:color="C0C0C0"/>
            </w:tcBorders>
            <w:shd w:fill="EBF3FA" w:val="clear"/>
          </w:tcPr>
          <w:p>
            <w:pPr>
              <w:pStyle w:val="Normal"/>
              <w:jc w:val="both"/>
              <w:rPr/>
            </w:pPr>
            <w:r>
              <w:rPr>
                <w:rFonts w:eastAsia="Arial" w:cs="Arial"/>
                <w:b w:val="false"/>
                <w:bCs w:val="false"/>
                <w:color w:val="1A1A1A"/>
                <w:sz w:val="20"/>
                <w:szCs w:val="20"/>
              </w:rPr>
              <w:t>Quality of argument, engagement with counterarguments, logical consistency</w:t>
            </w:r>
          </w:p>
        </w:tc>
        <w:tc>
          <w:tcPr>
            <w:tcW w:w="1601" w:type="dxa"/>
            <w:tcBorders>
              <w:top w:val="single" w:sz="2" w:space="0" w:color="C0C0C0"/>
              <w:start w:val="single" w:sz="2" w:space="0" w:color="C0C0C0"/>
              <w:bottom w:val="single" w:sz="2" w:space="0" w:color="C0C0C0"/>
              <w:end w:val="single" w:sz="2" w:space="0" w:color="C0C0C0"/>
            </w:tcBorders>
            <w:shd w:fill="EBF3FA" w:val="clear"/>
          </w:tcPr>
          <w:p>
            <w:pPr>
              <w:pStyle w:val="Normal"/>
              <w:jc w:val="both"/>
              <w:rPr/>
            </w:pPr>
            <w:r>
              <w:rPr>
                <w:rFonts w:eastAsia="Arial" w:cs="Arial"/>
                <w:b w:val="false"/>
                <w:bCs w:val="false"/>
                <w:color w:val="1A1A1A"/>
                <w:sz w:val="20"/>
                <w:szCs w:val="20"/>
              </w:rPr>
              <w:t>30</w:t>
            </w:r>
          </w:p>
        </w:tc>
      </w:tr>
      <w:tr>
        <w:trPr/>
        <w:tc>
          <w:tcPr>
            <w:tcW w:w="2400" w:type="dxa"/>
            <w:tcBorders>
              <w:top w:val="single" w:sz="2" w:space="0" w:color="C0C0C0"/>
              <w:start w:val="single" w:sz="2" w:space="0" w:color="C0C0C0"/>
              <w:bottom w:val="single" w:sz="2" w:space="0" w:color="C0C0C0"/>
              <w:end w:val="single" w:sz="2" w:space="0" w:color="C0C0C0"/>
            </w:tcBorders>
            <w:shd w:fill="D6E8F5" w:val="clear"/>
          </w:tcPr>
          <w:p>
            <w:pPr>
              <w:pStyle w:val="Normal"/>
              <w:jc w:val="both"/>
              <w:rPr/>
            </w:pPr>
            <w:r>
              <w:rPr>
                <w:rFonts w:eastAsia="Arial" w:cs="Arial"/>
                <w:b/>
                <w:bCs/>
                <w:color w:val="1A1A1A"/>
                <w:sz w:val="20"/>
                <w:szCs w:val="20"/>
              </w:rPr>
              <w:t>Section C — Forking</w:t>
            </w:r>
          </w:p>
        </w:tc>
        <w:tc>
          <w:tcPr>
            <w:tcW w:w="5385"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Analytical depth, willingness to argue against your own position before defending it</w:t>
            </w:r>
          </w:p>
        </w:tc>
        <w:tc>
          <w:tcPr>
            <w:tcW w:w="1601"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25</w:t>
            </w:r>
          </w:p>
        </w:tc>
      </w:tr>
      <w:tr>
        <w:trPr/>
        <w:tc>
          <w:tcPr>
            <w:tcW w:w="2400" w:type="dxa"/>
            <w:tcBorders>
              <w:top w:val="single" w:sz="2" w:space="0" w:color="C0C0C0"/>
              <w:start w:val="single" w:sz="2" w:space="0" w:color="C0C0C0"/>
              <w:bottom w:val="single" w:sz="2" w:space="0" w:color="C0C0C0"/>
              <w:end w:val="single" w:sz="2" w:space="0" w:color="C0C0C0"/>
            </w:tcBorders>
            <w:shd w:fill="D6E8F5" w:val="clear"/>
          </w:tcPr>
          <w:p>
            <w:pPr>
              <w:pStyle w:val="Normal"/>
              <w:jc w:val="both"/>
              <w:rPr/>
            </w:pPr>
            <w:r>
              <w:rPr>
                <w:rFonts w:eastAsia="Arial" w:cs="Arial"/>
                <w:b/>
                <w:bCs/>
                <w:color w:val="1A1A1A"/>
                <w:sz w:val="20"/>
                <w:szCs w:val="20"/>
              </w:rPr>
              <w:t>Section D — Lessons</w:t>
            </w:r>
          </w:p>
        </w:tc>
        <w:tc>
          <w:tcPr>
            <w:tcW w:w="5385" w:type="dxa"/>
            <w:tcBorders>
              <w:top w:val="single" w:sz="2" w:space="0" w:color="C0C0C0"/>
              <w:start w:val="single" w:sz="2" w:space="0" w:color="C0C0C0"/>
              <w:bottom w:val="single" w:sz="2" w:space="0" w:color="C0C0C0"/>
              <w:end w:val="single" w:sz="2" w:space="0" w:color="C0C0C0"/>
            </w:tcBorders>
            <w:shd w:fill="EBF3FA" w:val="clear"/>
          </w:tcPr>
          <w:p>
            <w:pPr>
              <w:pStyle w:val="Normal"/>
              <w:jc w:val="both"/>
              <w:rPr/>
            </w:pPr>
            <w:r>
              <w:rPr>
                <w:rFonts w:eastAsia="Arial" w:cs="Arial"/>
                <w:b w:val="false"/>
                <w:bCs w:val="false"/>
                <w:color w:val="1A1A1A"/>
                <w:sz w:val="20"/>
                <w:szCs w:val="20"/>
              </w:rPr>
              <w:t>Ability to generalise, quality of governance recommendations, application to new scenarios</w:t>
            </w:r>
          </w:p>
        </w:tc>
        <w:tc>
          <w:tcPr>
            <w:tcW w:w="1601" w:type="dxa"/>
            <w:tcBorders>
              <w:top w:val="single" w:sz="2" w:space="0" w:color="C0C0C0"/>
              <w:start w:val="single" w:sz="2" w:space="0" w:color="C0C0C0"/>
              <w:bottom w:val="single" w:sz="2" w:space="0" w:color="C0C0C0"/>
              <w:end w:val="single" w:sz="2" w:space="0" w:color="C0C0C0"/>
            </w:tcBorders>
            <w:shd w:fill="EBF3FA" w:val="clear"/>
          </w:tcPr>
          <w:p>
            <w:pPr>
              <w:pStyle w:val="Normal"/>
              <w:jc w:val="both"/>
              <w:rPr/>
            </w:pPr>
            <w:r>
              <w:rPr>
                <w:rFonts w:eastAsia="Arial" w:cs="Arial"/>
                <w:b w:val="false"/>
                <w:bCs w:val="false"/>
                <w:color w:val="1A1A1A"/>
                <w:sz w:val="20"/>
                <w:szCs w:val="20"/>
              </w:rPr>
              <w:t>20</w:t>
            </w:r>
          </w:p>
        </w:tc>
      </w:tr>
      <w:tr>
        <w:trPr/>
        <w:tc>
          <w:tcPr>
            <w:tcW w:w="2400" w:type="dxa"/>
            <w:tcBorders>
              <w:top w:val="single" w:sz="2" w:space="0" w:color="C0C0C0"/>
              <w:start w:val="single" w:sz="2" w:space="0" w:color="C0C0C0"/>
              <w:bottom w:val="single" w:sz="2" w:space="0" w:color="C0C0C0"/>
              <w:end w:val="single" w:sz="2" w:space="0" w:color="C0C0C0"/>
            </w:tcBorders>
            <w:shd w:fill="D6E8F5" w:val="clear"/>
          </w:tcPr>
          <w:p>
            <w:pPr>
              <w:pStyle w:val="Normal"/>
              <w:jc w:val="both"/>
              <w:rPr/>
            </w:pPr>
            <w:r>
              <w:rPr>
                <w:rFonts w:eastAsia="Arial" w:cs="Arial"/>
                <w:b/>
                <w:bCs/>
                <w:color w:val="1A1A1A"/>
                <w:sz w:val="20"/>
                <w:szCs w:val="20"/>
              </w:rPr>
              <w:t>Section E — Reflection</w:t>
            </w:r>
          </w:p>
        </w:tc>
        <w:tc>
          <w:tcPr>
            <w:tcW w:w="5385"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Honesty and clarity of personal thinking</w:t>
            </w:r>
          </w:p>
        </w:tc>
        <w:tc>
          <w:tcPr>
            <w:tcW w:w="1601" w:type="dxa"/>
            <w:tcBorders>
              <w:top w:val="single" w:sz="2" w:space="0" w:color="C0C0C0"/>
              <w:start w:val="single" w:sz="2" w:space="0" w:color="C0C0C0"/>
              <w:bottom w:val="single" w:sz="2" w:space="0" w:color="C0C0C0"/>
              <w:end w:val="single" w:sz="2" w:space="0" w:color="C0C0C0"/>
            </w:tcBorders>
            <w:shd w:fill="FFFFFF" w:val="clear"/>
          </w:tcPr>
          <w:p>
            <w:pPr>
              <w:pStyle w:val="Normal"/>
              <w:jc w:val="both"/>
              <w:rPr/>
            </w:pPr>
            <w:r>
              <w:rPr>
                <w:rFonts w:eastAsia="Arial" w:cs="Arial"/>
                <w:b w:val="false"/>
                <w:bCs w:val="false"/>
                <w:color w:val="1A1A1A"/>
                <w:sz w:val="20"/>
                <w:szCs w:val="20"/>
              </w:rPr>
              <w:t>10</w:t>
            </w:r>
          </w:p>
        </w:tc>
      </w:tr>
      <w:tr>
        <w:trPr/>
        <w:tc>
          <w:tcPr>
            <w:tcW w:w="2400" w:type="dxa"/>
            <w:tcBorders>
              <w:top w:val="single" w:sz="2" w:space="0" w:color="C0C0C0"/>
              <w:start w:val="single" w:sz="2" w:space="0" w:color="C0C0C0"/>
              <w:bottom w:val="single" w:sz="2" w:space="0" w:color="C0C0C0"/>
              <w:end w:val="single" w:sz="2" w:space="0" w:color="C0C0C0"/>
            </w:tcBorders>
            <w:shd w:fill="5983B0" w:val="clear"/>
          </w:tcPr>
          <w:p>
            <w:pPr>
              <w:pStyle w:val="Normal"/>
              <w:jc w:val="both"/>
              <w:rPr/>
            </w:pPr>
            <w:r>
              <w:rPr>
                <w:rFonts w:eastAsia="Arial" w:cs="Arial"/>
                <w:b/>
                <w:bCs/>
                <w:color w:val="1A1A1A"/>
                <w:sz w:val="20"/>
                <w:szCs w:val="20"/>
              </w:rPr>
              <w:t>Total</w:t>
            </w:r>
          </w:p>
        </w:tc>
        <w:tc>
          <w:tcPr>
            <w:tcW w:w="5385" w:type="dxa"/>
            <w:tcBorders>
              <w:top w:val="single" w:sz="2" w:space="0" w:color="C0C0C0"/>
              <w:start w:val="single" w:sz="2" w:space="0" w:color="C0C0C0"/>
              <w:bottom w:val="single" w:sz="2" w:space="0" w:color="C0C0C0"/>
              <w:end w:val="single" w:sz="2" w:space="0" w:color="C0C0C0"/>
            </w:tcBorders>
            <w:shd w:fill="5983B0" w:val="clear"/>
          </w:tcPr>
          <w:p>
            <w:pPr>
              <w:pStyle w:val="Normal"/>
              <w:jc w:val="both"/>
              <w:rPr/>
            </w:pPr>
            <w:r>
              <w:rPr/>
            </w:r>
          </w:p>
        </w:tc>
        <w:tc>
          <w:tcPr>
            <w:tcW w:w="1601" w:type="dxa"/>
            <w:tcBorders>
              <w:top w:val="single" w:sz="2" w:space="0" w:color="C0C0C0"/>
              <w:start w:val="single" w:sz="2" w:space="0" w:color="C0C0C0"/>
              <w:bottom w:val="single" w:sz="2" w:space="0" w:color="C0C0C0"/>
              <w:end w:val="single" w:sz="2" w:space="0" w:color="C0C0C0"/>
            </w:tcBorders>
            <w:shd w:fill="5983B0" w:val="clear"/>
          </w:tcPr>
          <w:p>
            <w:pPr>
              <w:pStyle w:val="Normal"/>
              <w:jc w:val="both"/>
              <w:rPr/>
            </w:pPr>
            <w:r>
              <w:rPr>
                <w:rFonts w:eastAsia="Arial" w:cs="Arial"/>
                <w:b/>
                <w:bCs/>
                <w:color w:val="1A1A1A"/>
                <w:sz w:val="20"/>
                <w:szCs w:val="20"/>
              </w:rPr>
              <w:t>100</w:t>
            </w:r>
          </w:p>
        </w:tc>
      </w:tr>
    </w:tbl>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Section A — Establish the Context</w:t>
      </w:r>
    </w:p>
    <w:p>
      <w:pPr>
        <w:pStyle w:val="Normal"/>
        <w:spacing w:before="340" w:after="130"/>
        <w:rPr/>
      </w:pPr>
      <w:r>
        <w:rPr>
          <w:rFonts w:eastAsia="Arial" w:cs="Arial"/>
          <w:b/>
          <w:bCs/>
          <w:color w:val="2563A8"/>
          <w:sz w:val="27"/>
          <w:szCs w:val="27"/>
        </w:rPr>
        <w:t>A1. The Story Before the Crisis</w:t>
      </w:r>
    </w:p>
    <w:p>
      <w:pPr>
        <w:pStyle w:val="Normal"/>
        <w:spacing w:before="60" w:after="180"/>
        <w:jc w:val="both"/>
        <w:rPr/>
      </w:pPr>
      <w:r>
        <w:rPr>
          <w:rFonts w:eastAsia="Arial" w:cs="Arial"/>
          <w:color w:val="1A1A1A"/>
          <w:sz w:val="22"/>
          <w:szCs w:val="22"/>
        </w:rPr>
        <w:t>To understand why LibreOffice happened, you first have to understand what OpenOffice.org was and how it ended up in the situation it did. In the late 1990s, if you wanted an office suite, you basically had one real option — Microsoft Office. It was expensive, it was Windows-centric, and its file formats were proprietary in a way that created a deliberate lock-in. Open a Word document in anything that was not Word, and you were rolling the dice on whether the formatting would survive. For universities, government departments, and individuals in developing countries, this was not just inconvenient — it was exclusionary.</w:t>
      </w:r>
    </w:p>
    <w:p>
      <w:pPr>
        <w:pStyle w:val="Normal"/>
        <w:spacing w:before="60" w:after="180"/>
        <w:jc w:val="both"/>
        <w:rPr/>
      </w:pPr>
      <w:r>
        <w:rPr>
          <w:rFonts w:eastAsia="Arial" w:cs="Arial"/>
          <w:color w:val="1A1A1A"/>
          <w:sz w:val="22"/>
          <w:szCs w:val="22"/>
        </w:rPr>
        <w:t>In 1999, Sun Microsystems acquired a German company called Star Division, which had built a competing office suite called StarOffice. Sun then made a decision that genuinely surprised the industry: it open-sourced the codebase under the name OpenOffice.org and released it for free. This was a big deal. For the first time there was a real, credible alternative to Microsoft Office that ran on Linux, Windows, and macOS, could read and write Word and Excel files, and cost nothing. Millions of users adopted it. Governments and educational institutions in countries that could not afford Microsoft licenses particularly embraced it.</w:t>
      </w:r>
    </w:p>
    <w:p>
      <w:pPr>
        <w:pStyle w:val="Normal"/>
        <w:spacing w:before="60" w:after="180"/>
        <w:jc w:val="both"/>
        <w:rPr/>
      </w:pPr>
      <w:r>
        <w:rPr>
          <w:rFonts w:eastAsia="Arial" w:cs="Arial"/>
          <w:color w:val="1A1A1A"/>
          <w:sz w:val="22"/>
          <w:szCs w:val="22"/>
        </w:rPr>
        <w:t>By the mid-2000s, OpenOffice.org looked like one of the great success stories of the open source movement. Tens of millions of users, a large and active contributor community, regular releases. From the outside, everything looked healthy.</w:t>
      </w:r>
    </w:p>
    <w:p>
      <w:pPr>
        <w:pStyle w:val="Normal"/>
        <w:spacing w:before="340" w:after="130"/>
        <w:rPr/>
      </w:pPr>
      <w:r>
        <w:rPr>
          <w:rFonts w:eastAsia="Arial" w:cs="Arial"/>
          <w:b/>
          <w:bCs/>
          <w:color w:val="2563A8"/>
          <w:sz w:val="27"/>
          <w:szCs w:val="27"/>
        </w:rPr>
        <w:t>A2. The Structural Flaw Nobody Fixed</w:t>
      </w:r>
    </w:p>
    <w:p>
      <w:pPr>
        <w:pStyle w:val="Normal"/>
        <w:spacing w:before="60" w:after="180"/>
        <w:jc w:val="both"/>
        <w:rPr/>
      </w:pPr>
      <w:r>
        <w:rPr>
          <w:rFonts w:eastAsia="Arial" w:cs="Arial"/>
          <w:color w:val="1A1A1A"/>
          <w:sz w:val="22"/>
          <w:szCs w:val="22"/>
        </w:rPr>
        <w:t>But there was a problem hiding inside the project's governance that experienced contributors had been aware of for years, and that most people outside the inner community never thought about.</w:t>
      </w:r>
    </w:p>
    <w:p>
      <w:pPr>
        <w:pStyle w:val="Normal"/>
        <w:spacing w:before="60" w:after="180"/>
        <w:jc w:val="both"/>
        <w:rPr/>
      </w:pPr>
      <w:r>
        <w:rPr>
          <w:rFonts w:eastAsia="Arial" w:cs="Arial"/>
          <w:color w:val="1A1A1A"/>
          <w:sz w:val="22"/>
          <w:szCs w:val="22"/>
        </w:rPr>
        <w:t>To contribute code to OpenOffice.org, a developer had to sign a Joint Copyright Assignment agreement with Sun. This meant that whatever code you wrote and submitted to the project — however many evenings and weekends you spent on it — became jointly owned by Sun. The community did the work. Sun held the rights. Sun employees also controlled the release schedule, the roadmap, and had final veto over what features went in. The community could propose, build, and test, but the actual direction of the project was Sun's to set.</w:t>
      </w:r>
    </w:p>
    <w:p>
      <w:pPr>
        <w:pStyle w:val="Normal"/>
        <w:spacing w:before="60" w:after="180"/>
        <w:jc w:val="both"/>
        <w:rPr/>
      </w:pPr>
      <w:r>
        <w:rPr>
          <w:rFonts w:eastAsia="Arial" w:cs="Arial"/>
          <w:color w:val="1A1A1A"/>
          <w:sz w:val="22"/>
          <w:szCs w:val="22"/>
        </w:rPr>
        <w:t>For many contributors, this felt like a fundamental imbalance. Open source philosophy, at its core, says that the community should control the tools the community builds. The copyright assignment model flipped that. It said: contribute your labor freely, but the legal ownership and governance authority belongs to a corporation that did not write most of the code.</w:t>
      </w:r>
    </w:p>
    <w:p>
      <w:pPr>
        <w:pStyle w:val="Normal"/>
        <w:spacing w:before="60" w:after="180"/>
        <w:jc w:val="both"/>
        <w:rPr/>
      </w:pPr>
      <w:r>
        <w:rPr>
          <w:rFonts w:eastAsia="Arial" w:cs="Arial"/>
          <w:color w:val="1A1A1A"/>
          <w:sz w:val="22"/>
          <w:szCs w:val="22"/>
        </w:rPr>
        <w:t>This was not a secret. People grumbled about it. But Sun was, by most accounts, a reasonably decent steward. It cared about OpenOffice.org, invested developers in it, and had a genuine interest in undermining Microsoft's dominance. The copyright assignment was uncomfortable, but it was not actively harmful. So the community stayed, and the structural problem was never fixed.</w:t>
      </w:r>
    </w:p>
    <w:p>
      <w:pPr>
        <w:pStyle w:val="Normal"/>
        <w:spacing w:before="340" w:after="130"/>
        <w:rPr/>
      </w:pPr>
      <w:r>
        <w:rPr>
          <w:rFonts w:eastAsia="Arial" w:cs="Arial"/>
          <w:b/>
          <w:bCs/>
          <w:color w:val="2563A8"/>
          <w:sz w:val="27"/>
          <w:szCs w:val="27"/>
        </w:rPr>
        <w:t>A3. Why Oracle Was Different — The Trigger Explained</w:t>
      </w:r>
    </w:p>
    <w:p>
      <w:pPr>
        <w:pStyle w:val="Normal"/>
        <w:spacing w:before="60" w:after="180"/>
        <w:jc w:val="both"/>
        <w:rPr/>
      </w:pPr>
      <w:r>
        <w:rPr>
          <w:rFonts w:eastAsia="Arial" w:cs="Arial"/>
          <w:color w:val="1A1A1A"/>
          <w:sz w:val="22"/>
          <w:szCs w:val="22"/>
        </w:rPr>
        <w:t>In January 2010, Oracle Corporation completed its acquisition of Sun Microsystems for approximately 7.4 billion USD. Overnight, everything that Sun owned — Java, MySQL, Solaris, OpenOffice.org — came under Oracle's control.</w:t>
      </w:r>
    </w:p>
    <w:p>
      <w:pPr>
        <w:pStyle w:val="Normal"/>
        <w:spacing w:before="60" w:after="180"/>
        <w:jc w:val="both"/>
        <w:rPr/>
      </w:pPr>
      <w:r>
        <w:rPr>
          <w:rFonts w:eastAsia="Arial" w:cs="Arial"/>
          <w:color w:val="1A1A1A"/>
          <w:sz w:val="22"/>
          <w:szCs w:val="22"/>
        </w:rPr>
        <w:t>The difference between Sun and Oracle as a corporate steward was not subtle. Sun had complicated motivations for being in open source, but it had a genuine culture of caring about developer communities. Oracle was, and is, a company built around aggressive commercial software licensing. It was not known for community goodwill. It was known for expensive enterprise contracts, aggressive legal action, and maximizing revenue from every asset it held.</w:t>
      </w:r>
    </w:p>
    <w:p>
      <w:pPr>
        <w:pStyle w:val="Normal"/>
        <w:spacing w:before="60" w:after="180"/>
        <w:jc w:val="both"/>
        <w:rPr/>
      </w:pPr>
      <w:r>
        <w:rPr>
          <w:rFonts w:eastAsia="Arial" w:cs="Arial"/>
          <w:color w:val="1A1A1A"/>
          <w:sz w:val="22"/>
          <w:szCs w:val="22"/>
        </w:rPr>
        <w:t>The copyright assignment clause that had been uncomfortable under Sun became genuinely alarming under Oracle. Developers who had signed over joint rights to Sun were now looking at a company that, within months of the acquisition, filed a major lawsuit against Google over Java — a lawsuit that signaled Oracle was fully prepared to use intellectual property rights aggressively. Those rights now included joint ownership of every line of code that OpenOffice.org contributors had ever submitted.</w:t>
      </w:r>
    </w:p>
    <w:p>
      <w:pPr>
        <w:pStyle w:val="Normal"/>
        <w:spacing w:before="60" w:after="180"/>
        <w:jc w:val="both"/>
        <w:rPr/>
      </w:pPr>
      <w:r>
        <w:rPr>
          <w:rFonts w:eastAsia="Arial" w:cs="Arial"/>
          <w:color w:val="1A1A1A"/>
          <w:sz w:val="22"/>
          <w:szCs w:val="22"/>
        </w:rPr>
        <w:t>So the answer to why Oracle triggered the fork when the copyright problem had existed for years is straightforward: the risk profile changed completely. Under Sun, the copyright assignment was a governance annoyance. Under Oracle, it was a potential weapon. The community had trusted Sun with something it should never have handed over in the first place, and now a very different company held it.</w:t>
      </w:r>
    </w:p>
    <w:p>
      <w:pPr>
        <w:pStyle w:val="Normal"/>
        <w:spacing w:before="340" w:after="130"/>
        <w:rPr/>
      </w:pPr>
      <w:r>
        <w:rPr>
          <w:rFonts w:eastAsia="Arial" w:cs="Arial"/>
          <w:b/>
          <w:bCs/>
          <w:color w:val="2563A8"/>
          <w:sz w:val="27"/>
          <w:szCs w:val="27"/>
        </w:rPr>
        <w:t>A4. Legal Openness vs Practical Openness</w:t>
      </w:r>
    </w:p>
    <w:p>
      <w:pPr>
        <w:pStyle w:val="Normal"/>
        <w:spacing w:before="60" w:after="180"/>
        <w:jc w:val="both"/>
        <w:rPr/>
      </w:pPr>
      <w:r>
        <w:rPr>
          <w:rFonts w:eastAsia="Arial" w:cs="Arial"/>
          <w:color w:val="1A1A1A"/>
          <w:sz w:val="22"/>
          <w:szCs w:val="22"/>
        </w:rPr>
        <w:t>This is the lesson the LibreOffice story teaches most clearly, and it is one that I think gets overlooked in most introductory discussions of open source.</w:t>
      </w:r>
    </w:p>
    <w:p>
      <w:pPr>
        <w:pStyle w:val="Normal"/>
        <w:spacing w:before="60" w:after="180"/>
        <w:jc w:val="both"/>
        <w:rPr/>
      </w:pPr>
      <w:r>
        <w:rPr>
          <w:rFonts w:eastAsia="Arial" w:cs="Arial"/>
          <w:color w:val="1A1A1A"/>
          <w:sz w:val="22"/>
          <w:szCs w:val="22"/>
        </w:rPr>
        <w:t>OpenOffice.org was legally open. Its code was under the LGPL — the GNU Lesser General Public License. Anyone could read it, copy it, modify it, redistribute it. The four freedoms of free software were technically intact. Nothing Oracle did changed that.</w:t>
      </w:r>
    </w:p>
    <w:p>
      <w:pPr>
        <w:pStyle w:val="Normal"/>
        <w:spacing w:before="60" w:after="180"/>
        <w:jc w:val="both"/>
        <w:rPr/>
      </w:pPr>
      <w:r>
        <w:rPr>
          <w:rFonts w:eastAsia="Arial" w:cs="Arial"/>
          <w:color w:val="1A1A1A"/>
          <w:sz w:val="22"/>
          <w:szCs w:val="22"/>
        </w:rPr>
        <w:t>But practical openness is a different thing entirely. Practical openness is about who actually controls the direction of a project, who holds the copyright, who decides what gets built and when, who can make releases. On all of those dimensions, Oracle had complete control. The community had the freedom to fork — that is one of the things the license protects. But exercising that freedom meant walking away from years of established momentum, splitting the user base, confusing organisations that had standardised on OpenOffice.org, and rebuilding infrastructure from scratch.</w:t>
      </w:r>
    </w:p>
    <w:p>
      <w:pPr>
        <w:pStyle w:val="Normal"/>
        <w:spacing w:before="60" w:after="180"/>
        <w:jc w:val="both"/>
        <w:rPr/>
      </w:pPr>
      <w:r>
        <w:rPr>
          <w:rFonts w:eastAsia="Arial" w:cs="Arial"/>
          <w:color w:val="1A1A1A"/>
          <w:sz w:val="22"/>
          <w:szCs w:val="22"/>
        </w:rPr>
        <w:t>The structural feature that made the fork both possible and arguably inevitable was the copyright assignment requirement. Because contributors had to sign over rights to Sun — and now Oracle — the community had no legal standing to demand governance changes. They could not claim co-ownership of the project they had largely built. The only leverage they had was to leave. And in September 2010, enough of them did exactly that.</w:t>
      </w:r>
    </w:p>
    <w:p>
      <w:pPr>
        <w:pStyle w:val="Normal"/>
        <w:spacing w:before="200" w:after="60"/>
        <w:jc w:val="center"/>
        <w:rPr/>
      </w:pPr>
      <w:r>
        <w:rPr/>
        <w:drawing>
          <wp:inline distT="0" distB="0" distL="0" distR="0">
            <wp:extent cx="4000500" cy="1924050"/>
            <wp:effectExtent l="0" t="0" r="0" b="0"/>
            <wp:docPr id="1" name="Figure 1 — LibreOffice suite installed on the author's Fedora Linux 43 (KDE Plasma Desktop Edition) system. LibreOffice is now the default office suite shipped with Fedora and most major Linux distributions — a direct result of the fork described in this case study." descr="Figure 1 — LibreOffice suite installed on the author's Fedora Linux 43 (KDE Plasma Desktop Edition) system. LibreOffice is now the default office suite shipped with Fedora and most major Linux distributions — a direct result of the fork described in this case study." title="Figure 1 — LibreOffice suite installed on the author's Fedora Linux 43 (KDE Plasma Desktop Edition) system. LibreOffice is now the default office suite shipped with Fedora and most major Linux distributions — a direct result of the fork described in this case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 LibreOffice suite installed on the author's Fedora Linux 43 (KDE Plasma Desktop Edition) system. LibreOffice is now the default office suite shipped with Fedora and most major Linux distributions — a direct result of the fork described in this case study." descr="Figure 1 — LibreOffice suite installed on the author's Fedora Linux 43 (KDE Plasma Desktop Edition) system. LibreOffice is now the default office suite shipped with Fedora and most major Linux distributions — a direct result of the fork described in this case study." title="Figure 1 — LibreOffice suite installed on the author's Fedora Linux 43 (KDE Plasma Desktop Edition) system. LibreOffice is now the default office suite shipped with Fedora and most major Linux distributions — a direct result of the fork described in this case study."/>
                    <pic:cNvPicPr>
                      <a:picLocks noChangeAspect="1" noChangeArrowheads="1"/>
                    </pic:cNvPicPr>
                  </pic:nvPicPr>
                  <pic:blipFill>
                    <a:blip r:embed="rId2"/>
                    <a:stretch>
                      <a:fillRect/>
                    </a:stretch>
                  </pic:blipFill>
                  <pic:spPr bwMode="auto">
                    <a:xfrm>
                      <a:off x="0" y="0"/>
                      <a:ext cx="4000500" cy="1924050"/>
                    </a:xfrm>
                    <a:prstGeom prst="rect">
                      <a:avLst/>
                    </a:prstGeom>
                    <a:noFill/>
                  </pic:spPr>
                </pic:pic>
              </a:graphicData>
            </a:graphic>
          </wp:inline>
        </w:drawing>
      </w:r>
    </w:p>
    <w:p>
      <w:pPr>
        <w:pStyle w:val="Normal"/>
        <w:spacing w:before="0" w:after="240"/>
        <w:jc w:val="center"/>
        <w:rPr/>
      </w:pPr>
      <w:r>
        <w:rPr>
          <w:rFonts w:eastAsia="Arial" w:cs="Arial"/>
          <w:i/>
          <w:iCs/>
          <w:color w:val="555555"/>
          <w:sz w:val="19"/>
          <w:szCs w:val="19"/>
        </w:rPr>
        <w:t>Figure 1 — LibreOffice suite installed on the author's Fedora Linux 43 (KDE Plasma Desktop Edition) system. LibreOffice is now the default office suite shipped with Fedora and most major Linux distributions — a direct result of the fork described in this case study.</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Section B — The Ethics of Corporate Control</w:t>
      </w:r>
    </w:p>
    <w:p>
      <w:pPr>
        <w:pStyle w:val="Normal"/>
        <w:spacing w:before="340" w:after="130"/>
        <w:rPr/>
      </w:pPr>
      <w:r>
        <w:rPr>
          <w:rFonts w:eastAsia="Arial" w:cs="Arial"/>
          <w:b/>
          <w:bCs/>
          <w:color w:val="2563A8"/>
          <w:sz w:val="27"/>
          <w:szCs w:val="27"/>
        </w:rPr>
        <w:t>B1. My Position</w:t>
      </w:r>
    </w:p>
    <w:p>
      <w:pPr>
        <w:pStyle w:val="Normal"/>
        <w:spacing w:before="60" w:after="180"/>
        <w:jc w:val="both"/>
        <w:rPr/>
      </w:pPr>
      <w:r>
        <w:rPr>
          <w:rFonts w:eastAsia="Arial" w:cs="Arial"/>
          <w:color w:val="1A1A1A"/>
          <w:sz w:val="22"/>
          <w:szCs w:val="22"/>
        </w:rPr>
        <w:t>I want to be direct about where I stand before working through the arguments: I do not think corporate investment in an open source project earns governance rights over a community-built codebase. Not in the way Sun exercised them, and certainly not in the way Oracle inherited them. The investment earns a seat at the table, not ownership of the table.</w:t>
      </w:r>
    </w:p>
    <w:p>
      <w:pPr>
        <w:pStyle w:val="Normal"/>
        <w:spacing w:before="60" w:after="180"/>
        <w:jc w:val="both"/>
        <w:rPr/>
      </w:pPr>
      <w:r>
        <w:rPr>
          <w:rFonts w:eastAsia="Arial" w:cs="Arial"/>
          <w:color w:val="1A1A1A"/>
          <w:sz w:val="22"/>
          <w:szCs w:val="22"/>
        </w:rPr>
        <w:t>That is my position. Now let me actually test it.</w:t>
      </w:r>
    </w:p>
    <w:p>
      <w:pPr>
        <w:pStyle w:val="Normal"/>
        <w:spacing w:before="340" w:after="130"/>
        <w:rPr/>
      </w:pPr>
      <w:r>
        <w:rPr>
          <w:rFonts w:eastAsia="Arial" w:cs="Arial"/>
          <w:b/>
          <w:bCs/>
          <w:color w:val="2563A8"/>
          <w:sz w:val="27"/>
          <w:szCs w:val="27"/>
        </w:rPr>
        <w:t>B2. The Case for Corporate Control</w:t>
      </w:r>
    </w:p>
    <w:p>
      <w:pPr>
        <w:pStyle w:val="Normal"/>
        <w:spacing w:before="60" w:after="180"/>
        <w:jc w:val="both"/>
        <w:rPr/>
      </w:pPr>
      <w:r>
        <w:rPr>
          <w:rFonts w:eastAsia="Arial" w:cs="Arial"/>
          <w:color w:val="1A1A1A"/>
          <w:sz w:val="22"/>
          <w:szCs w:val="22"/>
        </w:rPr>
        <w:t>The strongest argument in favor of what Sun did is the infrastructure argument. Running a project like OpenOffice.org is not free. Someone has to pay for servers, legal teams, trademark registrations, and the cost of having full-time developers who maintain the codebase and review contributions. Sun paid for all of that. The copyright assignment clause, from Sun's perspective, was simply the cost of building and maintaining the infrastructure that made the project possible. If Sun had not open-sourced StarOffice in the first place, there would have been nothing for the community to contribute to.</w:t>
      </w:r>
    </w:p>
    <w:p>
      <w:pPr>
        <w:pStyle w:val="Normal"/>
        <w:spacing w:before="60" w:after="180"/>
        <w:jc w:val="both"/>
        <w:rPr/>
      </w:pPr>
      <w:r>
        <w:rPr>
          <w:rFonts w:eastAsia="Arial" w:cs="Arial"/>
          <w:color w:val="1A1A1A"/>
          <w:sz w:val="22"/>
          <w:szCs w:val="22"/>
        </w:rPr>
        <w:t>There is also a coordination argument. Large, complex software projects require someone to make final decisions. Feature conflicts, release schedules, backward compatibility — these are not questions that can always be resolved by community consensus. Having a single entity with decision-making authority can actually make a project more coherent and faster-moving than a committee-driven alternative where every major decision requires consensus from dozens of stakeholders with different priorities.</w:t>
      </w:r>
    </w:p>
    <w:p>
      <w:pPr>
        <w:pStyle w:val="Normal"/>
        <w:spacing w:before="60" w:after="180"/>
        <w:jc w:val="both"/>
        <w:rPr/>
      </w:pPr>
      <w:r>
        <w:rPr>
          <w:rFonts w:eastAsia="Arial" w:cs="Arial"/>
          <w:color w:val="1A1A1A"/>
          <w:sz w:val="22"/>
          <w:szCs w:val="22"/>
        </w:rPr>
        <w:t>These are real arguments and I do not want to dismiss them. Sun provided real value. The infrastructure was real. The coordination function was real.</w:t>
      </w:r>
    </w:p>
    <w:p>
      <w:pPr>
        <w:pStyle w:val="Normal"/>
        <w:spacing w:before="340" w:after="130"/>
        <w:rPr/>
      </w:pPr>
      <w:r>
        <w:rPr>
          <w:rFonts w:eastAsia="Arial" w:cs="Arial"/>
          <w:b/>
          <w:bCs/>
          <w:color w:val="2563A8"/>
          <w:sz w:val="27"/>
          <w:szCs w:val="27"/>
        </w:rPr>
        <w:t>B3. Why Those Arguments Do Not Hold</w:t>
      </w:r>
    </w:p>
    <w:p>
      <w:pPr>
        <w:pStyle w:val="Normal"/>
        <w:spacing w:before="60" w:after="180"/>
        <w:jc w:val="both"/>
        <w:rPr/>
      </w:pPr>
      <w:r>
        <w:rPr>
          <w:rFonts w:eastAsia="Arial" w:cs="Arial"/>
          <w:color w:val="1A1A1A"/>
          <w:sz w:val="22"/>
          <w:szCs w:val="22"/>
        </w:rPr>
        <w:t>The infrastructure argument breaks down when you trace where the value actually came from. Sun open-sourced a codebase, yes. But the reason OpenOffice.org had tens of millions of users and a thriving contributor community was not because Sun kept writing code. It was because thousands of volunteers gave their time and skills. The localization volunteers who translated the software into dozens of languages were not paid by Sun. The developers who submitted bug fixes at weekends were not Sun employees. The community was not a beneficiary of Sun's investment. The community was the reason Sun's investment had any value at all.</w:t>
      </w:r>
    </w:p>
    <w:p>
      <w:pPr>
        <w:pStyle w:val="Normal"/>
        <w:spacing w:before="60" w:after="180"/>
        <w:jc w:val="both"/>
        <w:rPr/>
      </w:pPr>
      <w:r>
        <w:rPr>
          <w:rFonts w:eastAsia="Arial" w:cs="Arial"/>
          <w:color w:val="1A1A1A"/>
          <w:sz w:val="22"/>
          <w:szCs w:val="22"/>
        </w:rPr>
        <w:t>The copyright assignment clause, in that context, was not Sun asking contributors to acknowledge the value Sun provided. It was Sun asking contributors to hand over the legal rights to their own work in exchange for the privilege of contributing. That is a different thing entirely.</w:t>
      </w:r>
    </w:p>
    <w:p>
      <w:pPr>
        <w:pStyle w:val="Normal"/>
        <w:spacing w:before="60" w:after="180"/>
        <w:jc w:val="both"/>
        <w:rPr/>
      </w:pPr>
      <w:r>
        <w:rPr>
          <w:rFonts w:eastAsia="Arial" w:cs="Arial"/>
          <w:color w:val="1A1A1A"/>
          <w:sz w:val="22"/>
          <w:szCs w:val="22"/>
        </w:rPr>
        <w:t>The coordination argument is also weaker than it appears. The Document Foundation proved that a complex open source project can be governed effectively by an elected committee without corporate control. LibreOffice has had more development activity and more regular releases than Oracle's stewardship of OpenOffice.org ever produced. Corporate control did not improve coordination. It slowed it down.</w:t>
      </w:r>
    </w:p>
    <w:p>
      <w:pPr>
        <w:pStyle w:val="Normal"/>
        <w:spacing w:before="340" w:after="130"/>
        <w:rPr/>
      </w:pPr>
      <w:r>
        <w:rPr>
          <w:rFonts w:eastAsia="Arial" w:cs="Arial"/>
          <w:b/>
          <w:bCs/>
          <w:color w:val="2563A8"/>
          <w:sz w:val="27"/>
          <w:szCs w:val="27"/>
        </w:rPr>
        <w:t>B4. Was the Copyright Assignment Ethical for Sun? For Oracle?</w:t>
      </w:r>
    </w:p>
    <w:p>
      <w:pPr>
        <w:pStyle w:val="Normal"/>
        <w:spacing w:before="60" w:after="180"/>
        <w:jc w:val="both"/>
        <w:rPr/>
      </w:pPr>
      <w:r>
        <w:rPr>
          <w:rFonts w:eastAsia="Arial" w:cs="Arial"/>
          <w:color w:val="1A1A1A"/>
          <w:sz w:val="22"/>
          <w:szCs w:val="22"/>
        </w:rPr>
        <w:t>For Sun, I think the copyright assignment clause was ethically dubious but perhaps defensible in the context of 1999. Open source governance models were less developed. The idea of a foundation-based project with contributor-retained copyright was not yet established practice. Sun may genuinely have believed that centralising copyright ownership was the cleanest way to manage a large, complex codebase legally. Given the era, I would say the clause was misguided but not necessarily malicious.</w:t>
      </w:r>
    </w:p>
    <w:p>
      <w:pPr>
        <w:pStyle w:val="Normal"/>
        <w:spacing w:before="60" w:after="180"/>
        <w:jc w:val="both"/>
        <w:rPr/>
      </w:pPr>
      <w:r>
        <w:rPr>
          <w:rFonts w:eastAsia="Arial" w:cs="Arial"/>
          <w:color w:val="1A1A1A"/>
          <w:sz w:val="22"/>
          <w:szCs w:val="22"/>
        </w:rPr>
        <w:t>For Oracle, the ethics are much clearer to me. Oracle did not build OpenOffice.org. It acquired a company that had open-sourced a codebase that a community had then substantially built. Oracle's decision to retain the copyright assignment requirement, knowing its own reputation for IP-aggressive behavior, knowing that the community was watching the Java lawsuit unfold in parallel — that was not a misguided governance choice. It was a deliberate decision to retain leverage over a community that had every reason to distrust it. That is not defensible.</w:t>
      </w:r>
    </w:p>
    <w:p>
      <w:pPr>
        <w:pStyle w:val="Normal"/>
        <w:spacing w:before="60" w:after="180"/>
        <w:jc w:val="both"/>
        <w:rPr/>
      </w:pPr>
      <w:r>
        <w:rPr>
          <w:rFonts w:eastAsia="Arial" w:cs="Arial"/>
          <w:color w:val="1A1A1A"/>
          <w:sz w:val="22"/>
          <w:szCs w:val="22"/>
        </w:rPr>
        <w:t>Would my answer be different for Oracle than for Sun? Yes. Sun's version was ethically questionable but contextually understandable. Oracle's version was ethically indefensible given what it knew about community trust and what it had already signaled through the Java lawsuit.</w:t>
      </w:r>
    </w:p>
    <w:p>
      <w:pPr>
        <w:pStyle w:val="Normal"/>
        <w:spacing w:before="340" w:after="130"/>
        <w:rPr/>
      </w:pPr>
      <w:r>
        <w:rPr>
          <w:rFonts w:eastAsia="Arial" w:cs="Arial"/>
          <w:b/>
          <w:bCs/>
          <w:color w:val="2563A8"/>
          <w:sz w:val="27"/>
          <w:szCs w:val="27"/>
        </w:rPr>
        <w:t>B5. Stewardship vs Ownership — Is There a Meaningful Distinction?</w:t>
      </w:r>
    </w:p>
    <w:p>
      <w:pPr>
        <w:pStyle w:val="Normal"/>
        <w:spacing w:before="60" w:after="180"/>
        <w:jc w:val="both"/>
        <w:rPr/>
      </w:pPr>
      <w:r>
        <w:rPr>
          <w:rFonts w:eastAsia="Arial" w:cs="Arial"/>
          <w:color w:val="1A1A1A"/>
          <w:sz w:val="22"/>
          <w:szCs w:val="22"/>
        </w:rPr>
        <w:t>I think this distinction is one of the most important concepts in open source and one that is not discussed clearly enough. Stewardship means you take responsibility for something that does not ultimately belong to you. You maintain it, protect it, make it better, and you hold it in trust for others who will come after. Ownership means you control it and can direct it according to your own interests.</w:t>
      </w:r>
    </w:p>
    <w:p>
      <w:pPr>
        <w:pStyle w:val="Normal"/>
        <w:spacing w:before="60" w:after="180"/>
        <w:jc w:val="both"/>
        <w:rPr/>
      </w:pPr>
      <w:r>
        <w:rPr>
          <w:rFonts w:eastAsia="Arial" w:cs="Arial"/>
          <w:color w:val="1A1A1A"/>
          <w:sz w:val="22"/>
          <w:szCs w:val="22"/>
        </w:rPr>
        <w:t>The open source community is, functionally, a commons. The code is available to everyone. The contributions come from everywhere. No single entity created it. In that context, corporate stewardship is entirely legitimate and valuable — companies bringing resources, developers, and infrastructure to maintain the commons is a good thing. Corporate ownership of the commons is a contradiction in terms. You cannot own a commons. You can only pretend to, until the community walks away.</w:t>
      </w:r>
    </w:p>
    <w:p>
      <w:pPr>
        <w:pStyle w:val="Normal"/>
        <w:spacing w:before="60" w:after="180"/>
        <w:jc w:val="both"/>
        <w:rPr/>
      </w:pPr>
      <w:r>
        <w:rPr>
          <w:rFonts w:eastAsia="Arial" w:cs="Arial"/>
          <w:color w:val="1A1A1A"/>
          <w:sz w:val="22"/>
          <w:szCs w:val="22"/>
        </w:rPr>
        <w:t>Oracle found out the hard way that legal ownership and practical control are not the same thing in open source. The moment the community decided to fork, Oracle's copyright and trademark rights became nearly worthless in terms of what actually mattered: the active development of a widely-used piece of software. That is what stewardship versus ownership means in practice. Stewardship builds community. Ownership destroys it.</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Section C — The Forking Question</w:t>
      </w:r>
    </w:p>
    <w:p>
      <w:pPr>
        <w:pStyle w:val="Normal"/>
        <w:spacing w:before="340" w:after="130"/>
        <w:rPr/>
      </w:pPr>
      <w:r>
        <w:rPr>
          <w:rFonts w:eastAsia="Arial" w:cs="Arial"/>
          <w:b/>
          <w:bCs/>
          <w:color w:val="2563A8"/>
          <w:sz w:val="27"/>
          <w:szCs w:val="27"/>
        </w:rPr>
        <w:t>C1. Was Forking the Right Response?</w:t>
      </w:r>
    </w:p>
    <w:p>
      <w:pPr>
        <w:pStyle w:val="Normal"/>
        <w:spacing w:before="60" w:after="180"/>
        <w:jc w:val="both"/>
        <w:rPr/>
      </w:pPr>
      <w:r>
        <w:rPr>
          <w:rFonts w:eastAsia="Arial" w:cs="Arial"/>
          <w:color w:val="1A1A1A"/>
          <w:sz w:val="22"/>
          <w:szCs w:val="22"/>
        </w:rPr>
        <w:t>Yes. Given everything that had happened, and given Oracle's refusal to engage constructively with the community, forking was the right response. But I want to be precise about what 'right' means here — not morally superior in some abstract sense, but practically correct given the available options.</w:t>
      </w:r>
    </w:p>
    <w:p>
      <w:pPr>
        <w:pStyle w:val="Normal"/>
        <w:spacing w:before="60" w:after="180"/>
        <w:jc w:val="both"/>
        <w:rPr/>
      </w:pPr>
      <w:r>
        <w:rPr>
          <w:rFonts w:eastAsia="Arial" w:cs="Arial"/>
          <w:color w:val="1A1A1A"/>
          <w:sz w:val="22"/>
          <w:szCs w:val="22"/>
        </w:rPr>
        <w:t>The community had already tried the alternative. For years under Sun, contributors had raised concerns about the copyright assignment clause and the governance structure. The concerns were acknowledged and nothing changed. When Oracle took over and the concerns became urgent, the community did the right thing first — it tried to negotiate. The Document Foundation explicitly invited Oracle to donate the OpenOffice.org brand and codebase to the new foundation. Oracle declined and instead demanded that members of the Document Foundation resign from the OpenOffice.org council. The community was not given a real alternative. Forking was not an act of impatience. It was the only available act.</w:t>
      </w:r>
    </w:p>
    <w:p>
      <w:pPr>
        <w:pStyle w:val="Normal"/>
        <w:spacing w:before="340" w:after="130"/>
        <w:rPr/>
      </w:pPr>
      <w:r>
        <w:rPr>
          <w:rFonts w:eastAsia="Arial" w:cs="Arial"/>
          <w:b/>
          <w:bCs/>
          <w:color w:val="2563A8"/>
          <w:sz w:val="27"/>
          <w:szCs w:val="27"/>
        </w:rPr>
        <w:t>C2. Oracle's Decision to Decline — Business vs Ethics</w:t>
      </w:r>
    </w:p>
    <w:p>
      <w:pPr>
        <w:pStyle w:val="Normal"/>
        <w:spacing w:before="60" w:after="180"/>
        <w:jc w:val="both"/>
        <w:rPr/>
      </w:pPr>
      <w:r>
        <w:rPr>
          <w:rFonts w:eastAsia="Arial" w:cs="Arial"/>
          <w:color w:val="1A1A1A"/>
          <w:sz w:val="22"/>
          <w:szCs w:val="22"/>
        </w:rPr>
        <w:t>From a pure short-term business perspective, Oracle's decision to decline the invitation was defensible. It had just paid 7.4 billion dollars for Sun. OpenOffice.org was a commercial asset — Oracle had already launched Oracle Open Office as a product. Handing the brand and codebase to an independent foundation meant giving up a revenue stream and a marketing tool. If you are an Oracle executive in early 2011, the spreadsheet logic of declining makes sense.</w:t>
      </w:r>
    </w:p>
    <w:p>
      <w:pPr>
        <w:pStyle w:val="Normal"/>
        <w:spacing w:before="60" w:after="180"/>
        <w:jc w:val="both"/>
        <w:rPr/>
      </w:pPr>
      <w:r>
        <w:rPr>
          <w:rFonts w:eastAsia="Arial" w:cs="Arial"/>
          <w:color w:val="1A1A1A"/>
          <w:sz w:val="22"/>
          <w:szCs w:val="22"/>
        </w:rPr>
        <w:t>But that logic completely misunderstands what Oracle actually owned. The commercial value of OpenOffice.org was entirely dependent on the continued participation of the community that built it. The moment that community decided to leave, the asset Oracle was protecting became a liability. Within eighteen months, Oracle had to donate the codebase to the Apache Software Foundation anyway, under far worse circumstances and with far less goodwill than it would have received had it partnered with the Document Foundation from the start.</w:t>
      </w:r>
    </w:p>
    <w:p>
      <w:pPr>
        <w:pStyle w:val="Normal"/>
        <w:spacing w:before="60" w:after="180"/>
        <w:jc w:val="both"/>
        <w:rPr/>
      </w:pPr>
      <w:r>
        <w:rPr>
          <w:rFonts w:eastAsia="Arial" w:cs="Arial"/>
          <w:color w:val="1A1A1A"/>
          <w:sz w:val="22"/>
          <w:szCs w:val="22"/>
        </w:rPr>
        <w:t>From an ethical perspective, Oracle's decision was indefensible. The community that built OpenOffice.org was asking for the right to govern the project they had built. Declining that request while simultaneously demanding loyalty from contributors was not just a business mistake — it was a refusal to acknowledge the basic ethical claim that people who build something have some right to govern it.</w:t>
      </w:r>
    </w:p>
    <w:p>
      <w:pPr>
        <w:pStyle w:val="Normal"/>
        <w:spacing w:before="60" w:after="180"/>
        <w:jc w:val="both"/>
        <w:rPr/>
      </w:pPr>
      <w:r>
        <w:rPr>
          <w:rFonts w:eastAsia="Arial" w:cs="Arial"/>
          <w:color w:val="1A1A1A"/>
          <w:sz w:val="22"/>
          <w:szCs w:val="22"/>
        </w:rPr>
        <w:t>Do the business and ethical perspectives produce the same answer? In the long run, yes. In the short run, they diverge. Oracle's mistake was privileging short-term asset protection over the long-term value of community trust. Companies that make that trade-off consistently do not tend to do well in open source over time.</w:t>
      </w:r>
    </w:p>
    <w:p>
      <w:pPr>
        <w:pStyle w:val="Normal"/>
        <w:spacing w:before="340" w:after="130"/>
        <w:rPr/>
      </w:pPr>
      <w:r>
        <w:rPr>
          <w:rFonts w:eastAsia="Arial" w:cs="Arial"/>
          <w:b/>
          <w:bCs/>
          <w:color w:val="2563A8"/>
          <w:sz w:val="27"/>
          <w:szCs w:val="27"/>
        </w:rPr>
        <w:t>C3. Was the Fork Worth It?</w:t>
      </w:r>
    </w:p>
    <w:p>
      <w:pPr>
        <w:pStyle w:val="Normal"/>
        <w:spacing w:before="60" w:after="180"/>
        <w:jc w:val="both"/>
        <w:rPr/>
      </w:pPr>
      <w:r>
        <w:rPr>
          <w:rFonts w:eastAsia="Arial" w:cs="Arial"/>
          <w:color w:val="1A1A1A"/>
          <w:sz w:val="22"/>
          <w:szCs w:val="22"/>
        </w:rPr>
        <w:t>The cost of the fork was real. For several years after 2010, organisations faced genuine confusion about whether to standardise on LibreOffice or Apache OpenOffice. Some stayed with OpenOffice.org out of inertia. Some held off entirely on migrating from Microsoft Office because the open source option seemed fragmented. The community was split. Development effort was divided. Users were confused.</w:t>
      </w:r>
    </w:p>
    <w:p>
      <w:pPr>
        <w:pStyle w:val="Normal"/>
        <w:spacing w:before="60" w:after="180"/>
        <w:jc w:val="both"/>
        <w:rPr/>
      </w:pPr>
      <w:r>
        <w:rPr>
          <w:rFonts w:eastAsia="Arial" w:cs="Arial"/>
          <w:color w:val="1A1A1A"/>
          <w:sz w:val="22"/>
          <w:szCs w:val="22"/>
        </w:rPr>
        <w:t>But by the early 2020s, the answer is clear: yes, the fork was worth it. LibreOffice has over 200 million active users worldwide. It is the default office suite in the vast majority of Linux distributions, including Fedora — it is literally installed on my machine right now. Governments in Germany, Italy, and several Indian states have mandated or recommended its use. Apache OpenOffice, the remnant of what Oracle kept, has a fraction of the development activity and has not released a major version update in years.</w:t>
      </w:r>
    </w:p>
    <w:p>
      <w:pPr>
        <w:pStyle w:val="Normal"/>
        <w:spacing w:before="60" w:after="180"/>
        <w:jc w:val="both"/>
        <w:rPr/>
      </w:pPr>
      <w:r>
        <w:rPr>
          <w:rFonts w:eastAsia="Arial" w:cs="Arial"/>
          <w:color w:val="1A1A1A"/>
          <w:sz w:val="22"/>
          <w:szCs w:val="22"/>
        </w:rPr>
        <w:t>The short-term cost of the fork was significant. The long-term outcome was the creation of one of the most successful open source projects in existence, governed exactly the way an open source project should be governed. That trade-off was worth it.</w:t>
      </w:r>
    </w:p>
    <w:p>
      <w:pPr>
        <w:pStyle w:val="Normal"/>
        <w:spacing w:before="340" w:after="130"/>
        <w:rPr/>
      </w:pPr>
      <w:r>
        <w:rPr>
          <w:rFonts w:eastAsia="Arial" w:cs="Arial"/>
          <w:b/>
          <w:bCs/>
          <w:color w:val="2563A8"/>
          <w:sz w:val="27"/>
          <w:szCs w:val="27"/>
        </w:rPr>
        <w:t>C4. The Strongest Argument Against Forking</w:t>
      </w:r>
    </w:p>
    <w:p>
      <w:pPr>
        <w:pStyle w:val="Normal"/>
        <w:spacing w:before="60" w:after="180"/>
        <w:jc w:val="both"/>
        <w:rPr/>
      </w:pPr>
      <w:r>
        <w:rPr>
          <w:rFonts w:eastAsia="Arial" w:cs="Arial"/>
          <w:color w:val="1A1A1A"/>
          <w:sz w:val="22"/>
          <w:szCs w:val="22"/>
        </w:rPr>
        <w:t>Now let me construct the strongest version of the case that the community should have stayed.</w:t>
      </w:r>
    </w:p>
    <w:p>
      <w:pPr>
        <w:pStyle w:val="Normal"/>
        <w:spacing w:before="60" w:after="180"/>
        <w:jc w:val="both"/>
        <w:rPr/>
      </w:pPr>
      <w:r>
        <w:rPr>
          <w:rFonts w:eastAsia="Arial" w:cs="Arial"/>
          <w:color w:val="1A1A1A"/>
          <w:sz w:val="22"/>
          <w:szCs w:val="22"/>
        </w:rPr>
        <w:t>The argument goes like this: OpenOffice.org in 2010 had enormous momentum — tens of millions of users, established infrastructure, brand recognition, and an existing relationship with Linux distributions. A fork guaranteed years of fragmentation and user confusion. The damage to the open source office suite ecosystem from that fragmentation was real and is still not fully healed. Moreover, Oracle eventually donated the codebase to Apache anyway. If the community had stayed, engaged constructively, and waited, it might have ended up with a foundation-controlled project without the cost of the fork. The Document Foundation could have been created in anticipation, as a parallel structure, while keeping OpenOffice.org development unified.</w:t>
      </w:r>
    </w:p>
    <w:p>
      <w:pPr>
        <w:pStyle w:val="Normal"/>
        <w:spacing w:before="60" w:after="180"/>
        <w:jc w:val="both"/>
        <w:rPr/>
      </w:pPr>
      <w:r>
        <w:rPr>
          <w:rFonts w:eastAsia="Arial" w:cs="Arial"/>
          <w:color w:val="1A1A1A"/>
          <w:sz w:val="22"/>
          <w:szCs w:val="22"/>
        </w:rPr>
        <w:t>That argument has merit. The cost of fragmentation was real. The eventual Apache donation does show that Oracle's position was not permanent. A patient strategy might have worked.</w:t>
      </w:r>
    </w:p>
    <w:p>
      <w:pPr>
        <w:pStyle w:val="Normal"/>
        <w:spacing w:before="60" w:after="180"/>
        <w:jc w:val="both"/>
        <w:rPr/>
      </w:pPr>
      <w:r>
        <w:rPr>
          <w:rFonts w:eastAsia="Arial" w:cs="Arial"/>
          <w:color w:val="1A1A1A"/>
          <w:sz w:val="22"/>
          <w:szCs w:val="22"/>
        </w:rPr>
        <w:t>But I do not find it persuasive, for one reason: trust. Once a community has decided it cannot trust a corporate steward with its work, staying and waiting is not patience — it is continued exposure. Every line of code a contributor submitted to OpenOffice.org after Oracle took over was a line of code that Oracle owned the rights to. The copyright assignment clause meant staying was not just uncomfortable, it was actively risky. The community was right to stop accepting that risk. The fragmentation cost was the price of getting out, and it was worth paying.</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Section D — Lessons and Generalisation</w:t>
      </w:r>
    </w:p>
    <w:p>
      <w:pPr>
        <w:pStyle w:val="Normal"/>
        <w:spacing w:before="340" w:after="130"/>
        <w:rPr/>
      </w:pPr>
      <w:r>
        <w:rPr>
          <w:rFonts w:eastAsia="Arial" w:cs="Arial"/>
          <w:b/>
          <w:bCs/>
          <w:color w:val="2563A8"/>
          <w:sz w:val="27"/>
          <w:szCs w:val="27"/>
        </w:rPr>
        <w:t>D1. Two Forks from the Same Acquisition</w:t>
      </w:r>
    </w:p>
    <w:p>
      <w:pPr>
        <w:pStyle w:val="Normal"/>
        <w:spacing w:before="60" w:after="180"/>
        <w:jc w:val="both"/>
        <w:rPr/>
      </w:pPr>
      <w:r>
        <w:rPr>
          <w:rFonts w:eastAsia="Arial" w:cs="Arial"/>
          <w:color w:val="1A1A1A"/>
          <w:sz w:val="22"/>
          <w:szCs w:val="22"/>
        </w:rPr>
        <w:t>The fact that both OpenOffice.org and MySQL forked in response to the same Oracle acquisition of Sun is not a coincidence. It is a pattern, and the pattern says something specific about the relationship between corporate ownership and open source community health.</w:t>
      </w:r>
    </w:p>
    <w:p>
      <w:pPr>
        <w:pStyle w:val="Normal"/>
        <w:spacing w:before="60" w:after="180"/>
        <w:jc w:val="both"/>
        <w:rPr/>
      </w:pPr>
      <w:r>
        <w:rPr>
          <w:rFonts w:eastAsia="Arial" w:cs="Arial"/>
          <w:color w:val="1A1A1A"/>
          <w:sz w:val="22"/>
          <w:szCs w:val="22"/>
        </w:rPr>
        <w:t>Both projects had the same structural problem: governance concentrated in the hands of a corporation that did not write most of the code. Both had the same trigger: that corporation being acquired by another with a more aggressive IP posture. Both had the same response: the people who actually built the projects walked away and started over under governance models they could trust.</w:t>
      </w:r>
    </w:p>
    <w:p>
      <w:pPr>
        <w:pStyle w:val="Normal"/>
        <w:spacing w:before="60" w:after="180"/>
        <w:jc w:val="both"/>
        <w:rPr/>
      </w:pPr>
      <w:r>
        <w:rPr>
          <w:rFonts w:eastAsia="Arial" w:cs="Arial"/>
          <w:color w:val="1A1A1A"/>
          <w:sz w:val="22"/>
          <w:szCs w:val="22"/>
        </w:rPr>
        <w:t>What this tells you is that the LibreOffice outcome was not about Oracle being uniquely terrible, or about the OpenOffice.org community being uniquely principled. It was the predictable result of a governance model that concentrated control in a single corporate entity and then transferred that control to a company the community did not trust. The same model produced the same result in MySQL at almost the same time.</w:t>
      </w:r>
    </w:p>
    <w:p>
      <w:pPr>
        <w:pStyle w:val="Normal"/>
        <w:spacing w:before="60" w:after="180"/>
        <w:jc w:val="both"/>
        <w:rPr/>
      </w:pPr>
      <w:r>
        <w:rPr>
          <w:rFonts w:eastAsia="Arial" w:cs="Arial"/>
          <w:color w:val="1A1A1A"/>
          <w:sz w:val="22"/>
          <w:szCs w:val="22"/>
        </w:rPr>
        <w:t>The consistent lesson is this: in open source, governance structure is not a secondary concern. It is not the boring legal stuff you figure out after the project is successful. It is the foundation that determines whether a community can survive a change in corporate ownership. Both OpenOffice.org and MySQL lacked that foundation. MariaDB and LibreOffice are what happens when communities decide to build it.</w:t>
      </w:r>
    </w:p>
    <w:p>
      <w:pPr>
        <w:pStyle w:val="Normal"/>
        <w:spacing w:before="340" w:after="130"/>
        <w:rPr/>
      </w:pPr>
      <w:r>
        <w:rPr>
          <w:rFonts w:eastAsia="Arial" w:cs="Arial"/>
          <w:b/>
          <w:bCs/>
          <w:color w:val="2563A8"/>
          <w:sz w:val="27"/>
          <w:szCs w:val="27"/>
        </w:rPr>
        <w:t>D2. The Company X Hypothetical</w:t>
      </w:r>
    </w:p>
    <w:p>
      <w:pPr>
        <w:pStyle w:val="Normal"/>
        <w:spacing w:before="60" w:after="180"/>
        <w:jc w:val="both"/>
        <w:rPr/>
      </w:pPr>
      <w:r>
        <w:rPr>
          <w:rFonts w:eastAsia="Arial" w:cs="Arial"/>
          <w:color w:val="1A1A1A"/>
          <w:sz w:val="22"/>
          <w:szCs w:val="22"/>
        </w:rPr>
        <w:t>The hypothetical of a large cloud company contributing the majority of code to a popular open source project, controlling its governance, and using its success to drive commercial cloud customers — is that different from the Oracle/OpenOffice.org situation?</w:t>
      </w:r>
    </w:p>
    <w:p>
      <w:pPr>
        <w:pStyle w:val="Normal"/>
        <w:spacing w:before="60" w:after="180"/>
        <w:jc w:val="both"/>
        <w:rPr/>
      </w:pPr>
      <w:r>
        <w:rPr>
          <w:rFonts w:eastAsia="Arial" w:cs="Arial"/>
          <w:color w:val="1A1A1A"/>
          <w:sz w:val="22"/>
          <w:szCs w:val="22"/>
        </w:rPr>
        <w:t>In structure, it is similar. In degree of risk, it depends on several factors. The Oracle situation was particularly dangerous because of the copyright assignment requirement — contributors had actively handed over legal rights. In the Company X hypothetical, if contributors retain copyright on their own code, the power dynamic is less extreme. The community can fork without Oracle's specific problem of having signed away their work.</w:t>
      </w:r>
    </w:p>
    <w:p>
      <w:pPr>
        <w:pStyle w:val="Normal"/>
        <w:spacing w:before="60" w:after="180"/>
        <w:jc w:val="both"/>
        <w:rPr/>
      </w:pPr>
      <w:r>
        <w:rPr>
          <w:rFonts w:eastAsia="Arial" w:cs="Arial"/>
          <w:color w:val="1A1A1A"/>
          <w:sz w:val="22"/>
          <w:szCs w:val="22"/>
        </w:rPr>
        <w:t>But the dependency risk is real. If Company X contributes the majority of code, the project is functionally dependent on Company X's continued participation. If Company X decides to abandon the project, change the license, or restrict access to its hosted version, the community has a much harder time sustaining the project independently than if contributions had been distributed.</w:t>
      </w:r>
    </w:p>
    <w:p>
      <w:pPr>
        <w:pStyle w:val="Normal"/>
        <w:spacing w:before="60" w:after="180"/>
        <w:jc w:val="both"/>
        <w:rPr/>
      </w:pPr>
      <w:r>
        <w:rPr>
          <w:rFonts w:eastAsia="Arial" w:cs="Arial"/>
          <w:color w:val="1A1A1A"/>
          <w:sz w:val="22"/>
          <w:szCs w:val="22"/>
        </w:rPr>
        <w:t>The criteria I would use to evaluate whether a corporate steward can be trusted: first, does the governance model cap any single company's control — specifically, is there a rule like the Document Foundation's one-third limit on board representation? Second, do contributors retain copyright, or is there a copyright assignment clause? Third, is the project's value dependent on infrastructure the company controls exclusively, like proprietary cloud services? Fourth, what is the company's track record with other open source projects it has been involved in? A company with a consistent history of contributing and stepping back earns trust. A company that consistently uses open source to drive proprietary lock-in does not.</w:t>
      </w:r>
    </w:p>
    <w:p>
      <w:pPr>
        <w:pStyle w:val="Normal"/>
        <w:spacing w:before="340" w:after="130"/>
        <w:rPr>
          <w:rFonts w:ascii="Arial" w:hAnsi="Arial" w:eastAsia="Arial" w:cs="Arial"/>
          <w:b/>
          <w:bCs/>
          <w:color w:val="2563A8"/>
          <w:sz w:val="27"/>
          <w:szCs w:val="27"/>
        </w:rPr>
      </w:pPr>
      <w:r>
        <w:rPr>
          <w:rFonts w:eastAsia="Arial" w:cs="Arial"/>
          <w:b/>
          <w:bCs/>
          <w:color w:val="2563A8"/>
          <w:sz w:val="27"/>
          <w:szCs w:val="27"/>
        </w:rPr>
      </w:r>
    </w:p>
    <w:p>
      <w:pPr>
        <w:pStyle w:val="Normal"/>
        <w:spacing w:before="340" w:after="130"/>
        <w:rPr>
          <w:rFonts w:ascii="Arial" w:hAnsi="Arial" w:eastAsia="Arial" w:cs="Arial"/>
          <w:b/>
          <w:bCs/>
          <w:color w:val="2563A8"/>
          <w:sz w:val="27"/>
          <w:szCs w:val="27"/>
        </w:rPr>
      </w:pPr>
      <w:r>
        <w:rPr>
          <w:rFonts w:eastAsia="Arial" w:cs="Arial"/>
          <w:b/>
          <w:bCs/>
          <w:color w:val="2563A8"/>
          <w:sz w:val="27"/>
          <w:szCs w:val="27"/>
        </w:rPr>
        <w:t>D3. Governance Recommendations for a New Project</w:t>
      </w:r>
    </w:p>
    <w:p>
      <w:pPr>
        <w:pStyle w:val="Normal"/>
        <w:spacing w:before="60" w:after="180"/>
        <w:jc w:val="both"/>
        <w:rPr/>
      </w:pPr>
      <w:r>
        <w:rPr>
          <w:rFonts w:eastAsia="Arial" w:cs="Arial"/>
          <w:color w:val="1A1A1A"/>
          <w:sz w:val="22"/>
          <w:szCs w:val="22"/>
        </w:rPr>
        <w:t>If I were advising a group of developers starting a new open source project today, these are the specific structures I would recommend to prevent what happened to OpenOffice.org.</w:t>
      </w:r>
    </w:p>
    <w:p>
      <w:pPr>
        <w:pStyle w:val="Normal"/>
        <w:spacing w:before="60" w:after="180"/>
        <w:jc w:val="both"/>
        <w:rPr/>
      </w:pPr>
      <w:r>
        <w:rPr>
          <w:rFonts w:eastAsia="Arial" w:cs="Arial"/>
          <w:color w:val="1A1A1A"/>
          <w:sz w:val="22"/>
          <w:szCs w:val="22"/>
        </w:rPr>
        <w:t>On copyright: do not require copyright assignment. Ever. Contributors retain ownership of their own code. This is the single most important protection. If you need coordinated licensing for legal clarity, use a Developer Certificate of Origin — a lightweight statement that the contributor has the right to submit the code — rather than a copyright transfer. The moment you require contributors to sign over rights, you have created the structural condition that makes your project vulnerable to exactly the Oracle problem.</w:t>
      </w:r>
    </w:p>
    <w:p>
      <w:pPr>
        <w:pStyle w:val="Normal"/>
        <w:spacing w:before="60" w:after="180"/>
        <w:jc w:val="both"/>
        <w:rPr/>
      </w:pPr>
      <w:r>
        <w:rPr>
          <w:rFonts w:eastAsia="Arial" w:cs="Arial"/>
          <w:color w:val="1A1A1A"/>
          <w:sz w:val="22"/>
          <w:szCs w:val="22"/>
        </w:rPr>
        <w:t>On corporate participation: explicitly cap single-company influence on the governing board. The Document Foundation's one-third rule is a good model. Any company can contribute developers and resources — that should be welcomed. But no company should be able to achieve voting control. This rule should be in the founding charter and should not be changeable without a supermajority of the community.</w:t>
      </w:r>
    </w:p>
    <w:p>
      <w:pPr>
        <w:pStyle w:val="Normal"/>
        <w:spacing w:before="60" w:after="180"/>
        <w:jc w:val="both"/>
        <w:rPr/>
      </w:pPr>
      <w:r>
        <w:rPr>
          <w:rFonts w:eastAsia="Arial" w:cs="Arial"/>
          <w:color w:val="1A1A1A"/>
          <w:sz w:val="22"/>
          <w:szCs w:val="22"/>
        </w:rPr>
        <w:t>On decision-making: decisions about the roadmap, release schedule, and project direction should be made by elected representatives of the contributor community, not by employees of the largest contributing company. This does not mean the largest contributors have no voice — they should, because they are doing the most work. It means their voice is proportional and accountable, not absolute.</w:t>
      </w:r>
    </w:p>
    <w:p>
      <w:pPr>
        <w:pStyle w:val="Normal"/>
        <w:spacing w:before="60" w:after="180"/>
        <w:jc w:val="both"/>
        <w:rPr/>
      </w:pPr>
      <w:r>
        <w:rPr>
          <w:rFonts w:eastAsia="Arial" w:cs="Arial"/>
          <w:color w:val="1A1A1A"/>
          <w:sz w:val="22"/>
          <w:szCs w:val="22"/>
        </w:rPr>
        <w:t>On licensing: use a license with copyleft provisions for any project that functions as community infrastructure. MIT and similar permissive licenses are appropriate for libraries where you want maximum adoption. For a project like an office suite or a database, where the community value is in the ecosystem, a copyleft license ensures that improvements to the project cannot be made proprietary. GPL v2 for the kernel, LGPL or MPL for libraries — the specific choice depends on the project, but the principle is that infrastructure should remain open.</w:t>
      </w:r>
    </w:p>
    <w:p>
      <w:pPr>
        <w:pStyle w:val="Normal"/>
        <w:spacing w:before="60" w:after="180"/>
        <w:jc w:val="both"/>
        <w:rPr/>
      </w:pPr>
      <w:r>
        <w:rPr>
          <w:rFonts w:eastAsia="Arial" w:cs="Arial"/>
          <w:color w:val="1A1A1A"/>
          <w:sz w:val="22"/>
          <w:szCs w:val="22"/>
        </w:rPr>
        <w:t>On foundation structure: incorporate as a nonprofit from the beginning. Not as a company, not as an informal collective, but as a legally independent entity with a charter that defines its mission and governance. This matters because a nonprofit has fiduciary obligations to its mission that a company does not. When Oracle acquired Sun, it acquired Sun's commercial assets. It could not have acquired an independent foundation. If The Document Foundation had existed from the start of OpenOffice.org, the entire Oracle problem would have been structurally impossible.</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Section E — Personal Reflection</w:t>
      </w:r>
    </w:p>
    <w:p>
      <w:pPr>
        <w:pStyle w:val="Normal"/>
        <w:spacing w:before="60" w:after="180"/>
        <w:jc w:val="both"/>
        <w:rPr/>
      </w:pPr>
      <w:r>
        <w:rPr>
          <w:rFonts w:eastAsia="Arial" w:cs="Arial"/>
          <w:color w:val="1A1A1A"/>
          <w:sz w:val="22"/>
          <w:szCs w:val="22"/>
        </w:rPr>
        <w:t>Before reading this case study, I knew what open source meant in a technical sense. License. Source code available. Free to use and modify. I have been running Fedora for a while. Everything I use on my machine is open source — Vim, Joplin, Zen Browser, KDE, the kernel itself. I thought about open source in terms of tools and freedom. I did not think very carefully about governance.</w:t>
      </w:r>
    </w:p>
    <w:p>
      <w:pPr>
        <w:pStyle w:val="Normal"/>
        <w:spacing w:before="60" w:after="180"/>
        <w:jc w:val="both"/>
        <w:rPr/>
      </w:pPr>
      <w:r>
        <w:rPr>
          <w:rFonts w:eastAsia="Arial" w:cs="Arial"/>
          <w:color w:val="1A1A1A"/>
          <w:sz w:val="22"/>
          <w:szCs w:val="22"/>
        </w:rPr>
        <w:t>What surprised me in this story was not Oracle's behavior — that tracks with what Oracle is. What surprised me was how structural the problem was. The copyright assignment clause was not Oracle's creation. Sun put it there. The community accepted it for years because Sun seemed trustworthy. The clause was always a loaded gun. It just took Oracle to fire it. That is a more uncomfortable truth than the Oracle-as-villain version of the story, because it means the community was partly responsible for its own vulnerability. They knew the governance was wrong and they let it stay wrong because the current steward seemed okay. That is a lesson I want to remember.</w:t>
      </w:r>
    </w:p>
    <w:p>
      <w:pPr>
        <w:pStyle w:val="Normal"/>
        <w:spacing w:before="60" w:after="180"/>
        <w:jc w:val="both"/>
        <w:rPr/>
      </w:pPr>
      <w:r>
        <w:rPr>
          <w:rFonts w:eastAsia="Arial" w:cs="Arial"/>
          <w:color w:val="1A1A1A"/>
          <w:sz w:val="22"/>
          <w:szCs w:val="22"/>
        </w:rPr>
        <w:t>What troubled me most was the question about whether forking is a genuine freedom when it is so expensive to exercise. I said in Section C that the fork was worth it, and I believe that. But I also think the fact that it cost the community years of fragmentation and confusion is a genuine problem with how open source governance is usually set up. The freedom to fork should not be the only protection a community has against a corporate steward acting in bad faith. That is like saying the freedom to quit your job is sufficient protection against workplace exploitation. Technically true. Not actually adequate.</w:t>
      </w:r>
    </w:p>
    <w:p>
      <w:pPr>
        <w:pStyle w:val="Normal"/>
        <w:spacing w:before="60" w:after="180"/>
        <w:jc w:val="both"/>
        <w:rPr/>
      </w:pPr>
      <w:r>
        <w:rPr>
          <w:rFonts w:eastAsia="Arial" w:cs="Arial"/>
          <w:color w:val="1A1A1A"/>
          <w:sz w:val="22"/>
          <w:szCs w:val="22"/>
        </w:rPr>
        <w:t>Would I have made the same choice as the Document Foundation founders? Yes, I think so. The choice they made was to build something they could actually control, even if it cost them in the short term. I run Fedora and I use LibreOffice. I know that both of those projects are governed by structures designed to prevent any single company from owning them. That matters to me more than I would have been able to articulate before reading this. I am not just using software. I am using software that was built with a specific philosophy about who should control the tools people depend on. The people who forked OpenOffice.org in 2010 understood that clearly enough to give up everything they had built and start over. I think that was right.</w:t>
      </w:r>
    </w:p>
    <w:p>
      <w:pPr>
        <w:pStyle w:val="Normal"/>
        <w:rPr/>
      </w:pPr>
      <w:r>
        <w:rPr/>
      </w:r>
      <w:r>
        <w:br w:type="page"/>
      </w:r>
    </w:p>
    <w:p>
      <w:pPr>
        <w:pStyle w:val="Normal"/>
        <w:pBdr>
          <w:bottom w:val="single" w:sz="10" w:space="6" w:color="2563A8"/>
        </w:pBdr>
        <w:spacing w:before="0" w:after="200"/>
        <w:rPr/>
      </w:pPr>
      <w:r>
        <w:rPr>
          <w:rFonts w:eastAsia="Arial" w:cs="Arial"/>
          <w:b/>
          <w:bCs/>
          <w:color w:val="1B3A6B"/>
          <w:sz w:val="36"/>
          <w:szCs w:val="36"/>
        </w:rPr>
        <w:t>Reference Starting Points</w:t>
      </w:r>
    </w:p>
    <w:p>
      <w:pPr>
        <w:pStyle w:val="ListParagraph"/>
        <w:numPr>
          <w:ilvl w:val="0"/>
          <w:numId w:val="3"/>
        </w:numPr>
        <w:spacing w:before="40" w:after="40"/>
        <w:jc w:val="both"/>
        <w:rPr/>
      </w:pPr>
      <w:r>
        <w:rPr>
          <w:rFonts w:eastAsia="Arial" w:cs="Arial"/>
          <w:color w:val="1A1A1A"/>
          <w:sz w:val="22"/>
          <w:szCs w:val="22"/>
        </w:rPr>
        <w:t>The Document Foundation founding announcement (September 2010) — documentfoundation.org</w:t>
      </w:r>
    </w:p>
    <w:p>
      <w:pPr>
        <w:pStyle w:val="ListParagraph"/>
        <w:numPr>
          <w:ilvl w:val="0"/>
          <w:numId w:val="1"/>
        </w:numPr>
        <w:spacing w:before="40" w:after="40"/>
        <w:jc w:val="both"/>
        <w:rPr/>
      </w:pPr>
      <w:r>
        <w:rPr>
          <w:rFonts w:eastAsia="Arial" w:cs="Arial"/>
          <w:color w:val="1A1A1A"/>
          <w:sz w:val="22"/>
          <w:szCs w:val="22"/>
        </w:rPr>
        <w:t>Michael Widenius — blog post on the Oracle/MySQL acquisition and the MariaDB fork</w:t>
      </w:r>
    </w:p>
    <w:p>
      <w:pPr>
        <w:pStyle w:val="ListParagraph"/>
        <w:numPr>
          <w:ilvl w:val="0"/>
          <w:numId w:val="1"/>
        </w:numPr>
        <w:spacing w:before="40" w:after="40"/>
        <w:jc w:val="both"/>
        <w:rPr/>
      </w:pPr>
      <w:r>
        <w:rPr>
          <w:rFonts w:eastAsia="Arial" w:cs="Arial"/>
          <w:color w:val="1A1A1A"/>
          <w:sz w:val="22"/>
          <w:szCs w:val="22"/>
        </w:rPr>
        <w:t>GNU Project — The Free Software Definition, four freedoms — gnu.org/philosophy/free-sw.html</w:t>
      </w:r>
    </w:p>
    <w:p>
      <w:pPr>
        <w:pStyle w:val="ListParagraph"/>
        <w:numPr>
          <w:ilvl w:val="0"/>
          <w:numId w:val="1"/>
        </w:numPr>
        <w:spacing w:before="40" w:after="40"/>
        <w:jc w:val="both"/>
        <w:rPr/>
      </w:pPr>
      <w:r>
        <w:rPr>
          <w:rFonts w:eastAsia="Arial" w:cs="Arial"/>
          <w:color w:val="1A1A1A"/>
          <w:sz w:val="22"/>
          <w:szCs w:val="22"/>
        </w:rPr>
        <w:t>Eric S. Raymond — The Cathedral and the Bazaar — catb.org/~esr/writings/cathedral-bazaar</w:t>
      </w:r>
    </w:p>
    <w:p>
      <w:pPr>
        <w:pStyle w:val="ListParagraph"/>
        <w:numPr>
          <w:ilvl w:val="0"/>
          <w:numId w:val="1"/>
        </w:numPr>
        <w:spacing w:before="40" w:after="40"/>
        <w:jc w:val="both"/>
        <w:rPr/>
      </w:pPr>
      <w:r>
        <w:rPr>
          <w:rFonts w:eastAsia="Arial" w:cs="Arial"/>
          <w:color w:val="1A1A1A"/>
          <w:sz w:val="22"/>
          <w:szCs w:val="22"/>
        </w:rPr>
        <w:t>Apache OpenOffice project history — openoffice.apache.org</w:t>
      </w:r>
    </w:p>
    <w:p>
      <w:pPr>
        <w:pStyle w:val="ListParagraph"/>
        <w:numPr>
          <w:ilvl w:val="0"/>
          <w:numId w:val="1"/>
        </w:numPr>
        <w:spacing w:before="40" w:after="40"/>
        <w:jc w:val="both"/>
        <w:rPr/>
      </w:pPr>
      <w:r>
        <w:rPr>
          <w:rFonts w:eastAsia="Arial" w:cs="Arial"/>
          <w:color w:val="1A1A1A"/>
          <w:sz w:val="22"/>
          <w:szCs w:val="22"/>
        </w:rPr>
        <w:t>LibreOffice release history and contributor statistics — libreoffice.org</w:t>
      </w:r>
    </w:p>
    <w:p>
      <w:pPr>
        <w:pStyle w:val="ListParagraph"/>
        <w:numPr>
          <w:ilvl w:val="0"/>
          <w:numId w:val="1"/>
        </w:numPr>
        <w:spacing w:before="40" w:after="40"/>
        <w:jc w:val="both"/>
        <w:rPr/>
      </w:pPr>
      <w:r>
        <w:rPr>
          <w:rFonts w:eastAsia="Arial" w:cs="Arial"/>
          <w:color w:val="1A1A1A"/>
          <w:sz w:val="22"/>
          <w:szCs w:val="22"/>
        </w:rPr>
        <w:t>SPDX License List (LGPL, GPL, MPL) — spdx.org/licenses</w:t>
      </w:r>
    </w:p>
    <w:sectPr>
      <w:footerReference w:type="even" r:id="rId3"/>
      <w:footerReference w:type="default" r:id="rId4"/>
      <w:footerReference w:type="first" r:id="rId5"/>
      <w:type w:val="nextPage"/>
      <w:pgSz w:w="11906" w:h="16838"/>
      <w:pgMar w:left="1260" w:right="1260" w:gutter="0" w:header="0" w:top="1080" w:footer="708" w:bottom="14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0C0C0"/>
      </w:pBdr>
      <w:tabs>
        <w:tab w:val="clear" w:pos="720"/>
        <w:tab w:val="right" w:pos="9386" w:leader="none"/>
      </w:tabs>
      <w:spacing w:before="80" w:after="0"/>
      <w:rPr/>
    </w:pPr>
    <w:r>
      <w:rPr>
        <w:rFonts w:eastAsia="Arial" w:cs="Arial"/>
        <w:color w:val="444444"/>
        <w:sz w:val="17"/>
        <w:szCs w:val="17"/>
      </w:rPr>
      <w:t>Rounak Hati  |  24MIM10078  |  Open Source Software — Case Study</w:t>
      <w:tab/>
      <w:t xml:space="preserve">Page </w:t>
    </w:r>
    <w:r>
      <w:rPr>
        <w:rFonts w:eastAsia="Arial" w:cs="Arial"/>
        <w:color w:val="1A1A1A"/>
        <w:sz w:val="22"/>
        <w:szCs w:val="22"/>
      </w:rPr>
      <w:fldChar w:fldCharType="begin"/>
    </w:r>
    <w:r>
      <w:rPr>
        <w:rFonts w:eastAsia="Arial" w:cs="Arial"/>
        <w:color w:val="1A1A1A"/>
        <w:sz w:val="22"/>
        <w:szCs w:val="22"/>
      </w:rPr>
      <w:instrText xml:space="preserve"> PAGE </w:instrText>
    </w:r>
    <w:r>
      <w:rPr>
        <w:rFonts w:eastAsia="Arial" w:cs="Arial"/>
        <w:color w:val="1A1A1A"/>
        <w:sz w:val="22"/>
        <w:szCs w:val="22"/>
      </w:rPr>
      <w:fldChar w:fldCharType="separate"/>
    </w:r>
    <w:r>
      <w:rPr>
        <w:rFonts w:eastAsia="Arial" w:cs="Arial"/>
        <w:color w:val="1A1A1A"/>
        <w:sz w:val="22"/>
        <w:szCs w:val="22"/>
      </w:rPr>
      <w:t>12</w:t>
    </w:r>
    <w:r>
      <w:rPr>
        <w:rFonts w:eastAsia="Arial" w:cs="Arial"/>
        <w:color w:val="1A1A1A"/>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0C0C0"/>
      </w:pBdr>
      <w:tabs>
        <w:tab w:val="clear" w:pos="720"/>
        <w:tab w:val="right" w:pos="9386" w:leader="none"/>
      </w:tabs>
      <w:spacing w:before="80" w:after="0"/>
      <w:rPr/>
    </w:pPr>
    <w:r>
      <w:rPr>
        <w:rFonts w:eastAsia="Arial" w:cs="Arial"/>
        <w:color w:val="444444"/>
        <w:sz w:val="17"/>
        <w:szCs w:val="17"/>
      </w:rPr>
      <w:t>Rounak Hati  |  24MIM10078  |  Open Source Software — Case Study</w:t>
      <w:tab/>
      <w:t xml:space="preserve">Page </w:t>
    </w:r>
    <w:r>
      <w:rPr>
        <w:rFonts w:eastAsia="Arial" w:cs="Arial"/>
        <w:color w:val="1A1A1A"/>
        <w:sz w:val="22"/>
        <w:szCs w:val="22"/>
      </w:rPr>
      <w:fldChar w:fldCharType="begin"/>
    </w:r>
    <w:r>
      <w:rPr>
        <w:rFonts w:eastAsia="Arial" w:cs="Arial"/>
        <w:color w:val="1A1A1A"/>
        <w:sz w:val="22"/>
        <w:szCs w:val="22"/>
      </w:rPr>
      <w:instrText xml:space="preserve"> PAGE </w:instrText>
    </w:r>
    <w:r>
      <w:rPr>
        <w:rFonts w:eastAsia="Arial" w:cs="Arial"/>
        <w:color w:val="1A1A1A"/>
        <w:sz w:val="22"/>
        <w:szCs w:val="22"/>
      </w:rPr>
      <w:fldChar w:fldCharType="separate"/>
    </w:r>
    <w:r>
      <w:rPr>
        <w:rFonts w:eastAsia="Arial" w:cs="Arial"/>
        <w:color w:val="1A1A1A"/>
        <w:sz w:val="22"/>
        <w:szCs w:val="22"/>
      </w:rPr>
      <w:t>12</w:t>
    </w:r>
    <w:r>
      <w:rPr>
        <w:rFonts w:eastAsia="Arial" w:cs="Arial"/>
        <w:color w:val="1A1A1A"/>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LibreOffice/25.8.5.2$Linux_X86_64 LibreOffice_project/580$Build-2</Application>
  <AppVersion>15.0000</AppVersion>
  <Pages>12</Pages>
  <Words>4381</Words>
  <Characters>23666</Characters>
  <CharactersWithSpaces>27972</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2026-03-31T16:47:01Z</dcterms:created>
  <dc:creator>Un-named</dc:creator>
  <dc:description/>
  <dc:language>en-IN</dc:language>
  <cp:lastModifiedBy/>
  <dcterms:modified xsi:type="dcterms:W3CDTF">2026-03-31T22:20:35Z</dcterms:modified>
  <cp:revision>2</cp:revision>
  <dc:subject/>
  <dc:title/>
</cp:coreProperties>
</file>