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E77" w:rsidRDefault="00595E77" w:rsidP="00595E77">
      <w:pPr>
        <w:pStyle w:val="Heading2"/>
        <w:shd w:val="clear" w:color="auto" w:fill="FFFFFF"/>
        <w:spacing w:before="300" w:after="300" w:line="450" w:lineRule="atLeast"/>
      </w:pPr>
      <w:r>
        <w:rPr>
          <w:rFonts w:ascii="Segoe UI" w:hAnsi="Segoe UI" w:cs="Segoe UI"/>
          <w:sz w:val="27"/>
          <w:szCs w:val="27"/>
        </w:rPr>
        <w:t>Copyright Notice</w:t>
      </w:r>
    </w:p>
    <w:p w:rsidR="00595E77" w:rsidRDefault="00595E77" w:rsidP="00595E77">
      <w:pPr>
        <w:pStyle w:val="NormalWeb"/>
        <w:shd w:val="clear" w:color="auto" w:fill="FFFFFF"/>
        <w:spacing w:before="300" w:after="300" w:line="375" w:lineRule="atLeast"/>
        <w:jc w:val="both"/>
      </w:pPr>
      <w:r>
        <w:rPr>
          <w:rFonts w:ascii="Segoe UI" w:hAnsi="Segoe UI" w:cs="Segoe UI"/>
          <w:sz w:val="21"/>
          <w:szCs w:val="21"/>
        </w:rPr>
        <w:t>Authors retain copyright and grant the journal right of first publication with the work simultaneously licensed under a </w:t>
      </w:r>
      <w:hyperlink r:id="rId4" w:history="1">
        <w:r>
          <w:rPr>
            <w:rStyle w:val="Hyperlink"/>
            <w:rFonts w:ascii="Segoe UI" w:hAnsi="Segoe UI" w:cs="Segoe UI"/>
            <w:color w:val="2DAAE1"/>
            <w:sz w:val="21"/>
            <w:szCs w:val="21"/>
          </w:rPr>
          <w:t>Creative Commons Attribution License</w:t>
        </w:r>
      </w:hyperlink>
      <w:r>
        <w:rPr>
          <w:rFonts w:ascii="Segoe UI" w:hAnsi="Segoe UI" w:cs="Segoe UI"/>
          <w:sz w:val="21"/>
          <w:szCs w:val="21"/>
        </w:rPr>
        <w:t> (CC-BY-NC-ND) that allows others to share the work with an acknowledgement of the work's authorship and initial publication in this journal.</w:t>
      </w:r>
    </w:p>
    <w:p w:rsidR="00595E77" w:rsidRDefault="00595E77" w:rsidP="00595E77">
      <w:pPr>
        <w:pStyle w:val="NormalWeb"/>
        <w:shd w:val="clear" w:color="auto" w:fill="FFFFFF"/>
        <w:spacing w:before="300" w:after="300" w:line="375" w:lineRule="atLeast"/>
        <w:jc w:val="both"/>
      </w:pPr>
      <w:r>
        <w:rPr>
          <w:rStyle w:val="label"/>
          <w:rFonts w:ascii="Segoe UI" w:hAnsi="Segoe UI" w:cs="Segoe UI"/>
          <w:b/>
          <w:bCs/>
          <w:sz w:val="21"/>
          <w:szCs w:val="21"/>
        </w:rPr>
        <w:t>Author Self-Archiving Policy</w:t>
      </w:r>
    </w:p>
    <w:p w:rsidR="00595E77" w:rsidRDefault="00595E77" w:rsidP="00595E77">
      <w:pPr>
        <w:pStyle w:val="NormalWeb"/>
        <w:shd w:val="clear" w:color="auto" w:fill="FFFFFF"/>
        <w:spacing w:before="300" w:after="0" w:line="375" w:lineRule="atLeast"/>
        <w:jc w:val="both"/>
      </w:pPr>
      <w:r>
        <w:rPr>
          <w:rStyle w:val="Strong"/>
          <w:rFonts w:ascii="Segoe UI" w:hAnsi="Segoe UI" w:cs="Segoe UI"/>
          <w:sz w:val="21"/>
          <w:szCs w:val="21"/>
        </w:rPr>
        <w:t>IJCPMS</w:t>
      </w:r>
      <w:r>
        <w:rPr>
          <w:rStyle w:val="label"/>
          <w:rFonts w:ascii="Segoe UI" w:hAnsi="Segoe UI" w:cs="Segoe UI"/>
          <w:sz w:val="21"/>
          <w:szCs w:val="21"/>
        </w:rPr>
        <w:t> permits and encourages authors to post and archive the</w:t>
      </w:r>
      <w:r>
        <w:rPr>
          <w:rStyle w:val="Strong"/>
          <w:rFonts w:ascii="Segoe UI" w:hAnsi="Segoe UI" w:cs="Segoe UI"/>
          <w:sz w:val="21"/>
          <w:szCs w:val="21"/>
        </w:rPr>
        <w:t> final </w:t>
      </w:r>
      <w:r>
        <w:rPr>
          <w:rStyle w:val="label"/>
          <w:rFonts w:ascii="Segoe UI" w:hAnsi="Segoe UI" w:cs="Segoe UI"/>
          <w:sz w:val="21"/>
          <w:szCs w:val="21"/>
        </w:rPr>
        <w:t>PDFs of their respective articles submitted to the journal on personal websites or institutional repositories after publication, while providing bibliographic details that credit its publication in this journal.</w:t>
      </w:r>
    </w:p>
    <w:p w:rsidR="00595E77" w:rsidRDefault="00595E77" w:rsidP="00595E77">
      <w:pPr>
        <w:pStyle w:val="NormalWeb"/>
        <w:shd w:val="clear" w:color="auto" w:fill="FFFFFF"/>
        <w:spacing w:before="300" w:after="0" w:line="375" w:lineRule="atLeast"/>
        <w:jc w:val="both"/>
      </w:pPr>
      <w:proofErr w:type="gramStart"/>
      <w:r>
        <w:rPr>
          <w:b/>
          <w:bCs/>
          <w:color w:val="333333"/>
        </w:rPr>
        <w:t>Creative Commons</w:t>
      </w:r>
      <w:proofErr w:type="gramEnd"/>
      <w:r>
        <w:rPr>
          <w:b/>
          <w:bCs/>
          <w:color w:val="333333"/>
        </w:rPr>
        <w:t xml:space="preserve"> licences</w:t>
      </w:r>
    </w:p>
    <w:p w:rsidR="00595E77" w:rsidRDefault="00595E77" w:rsidP="00595E77">
      <w:pPr>
        <w:pStyle w:val="NormalWeb"/>
        <w:shd w:val="clear" w:color="auto" w:fill="FCFCFC"/>
        <w:spacing w:before="0" w:after="360"/>
      </w:pPr>
      <w:r>
        <w:t xml:space="preserve">Open access articles in IJCPMS are published under </w:t>
      </w:r>
      <w:proofErr w:type="gramStart"/>
      <w:r>
        <w:t>Creative Commons</w:t>
      </w:r>
      <w:proofErr w:type="gramEnd"/>
      <w:r>
        <w:t xml:space="preserve"> licences. These provide an industry-standard framework to support easy re-use of open access material. Under </w:t>
      </w:r>
      <w:proofErr w:type="gramStart"/>
      <w:r>
        <w:t>Creative Commons</w:t>
      </w:r>
      <w:proofErr w:type="gramEnd"/>
      <w:r>
        <w:t xml:space="preserve"> licences, authors retain copyright of their articles.</w:t>
      </w:r>
    </w:p>
    <w:p w:rsidR="00595E77" w:rsidRDefault="00595E77" w:rsidP="00595E77">
      <w:pPr>
        <w:pStyle w:val="NormalWeb"/>
        <w:shd w:val="clear" w:color="auto" w:fill="FCFCFC"/>
        <w:spacing w:before="0" w:after="360"/>
      </w:pPr>
      <w:r>
        <w:rPr>
          <w:rStyle w:val="Emphasis"/>
        </w:rPr>
        <w:t>INDIAN JOURNAL OF CLINICAL PHARMACY AND MEDICAL SCIENCES</w:t>
      </w:r>
      <w:r>
        <w:t> articles are published open access under a </w:t>
      </w:r>
      <w:hyperlink r:id="rId5" w:history="1">
        <w:r>
          <w:rPr>
            <w:rStyle w:val="Hyperlink"/>
          </w:rPr>
          <w:t>CC BY licence</w:t>
        </w:r>
      </w:hyperlink>
      <w:r>
        <w:t> (Creative Commons Attribution 4.0 International licence). The CC BY licence is the most open licence available and considered the industry 'gold standard' for open access; it is also preferred by many funders. This licence allows readers to copy and redistribute the material in any medium or format, and to alter, transform, or build upon the material, including for commercial use, providing the original author is credited.</w:t>
      </w:r>
    </w:p>
    <w:p w:rsidR="00595E77" w:rsidRDefault="00595E77" w:rsidP="00595E77">
      <w:pPr>
        <w:pStyle w:val="NormalWeb"/>
        <w:shd w:val="clear" w:color="auto" w:fill="FCFCFC"/>
        <w:spacing w:before="0" w:after="360"/>
      </w:pPr>
      <w:r>
        <w:t>In instances where authors are not allowed to retain copyright to their own article authors should contact the Open Research Support team of IJCPMS before submitting their article so we can advise as to whether their non-standard copyright request can be accommodated</w:t>
      </w:r>
    </w:p>
    <w:p w:rsidR="00595E77" w:rsidRDefault="00595E77" w:rsidP="00595E77">
      <w:pPr>
        <w:pStyle w:val="Standard"/>
        <w:rPr>
          <w:rFonts w:ascii="Times New Roman" w:hAnsi="Times New Roman" w:cs="Times New Roman"/>
        </w:rPr>
      </w:pPr>
      <w:r>
        <w:rPr>
          <w:rFonts w:ascii="Times New Roman" w:hAnsi="Times New Roman" w:cs="Times New Roman"/>
        </w:rPr>
        <w:t>Open Access is the free, immediate, online availability of research articles, coupled with the rights to use these articles fully in the digital environment.</w:t>
      </w:r>
    </w:p>
    <w:p w:rsidR="00595E77" w:rsidRDefault="00595E77" w:rsidP="00595E77">
      <w:pPr>
        <w:pStyle w:val="Standard"/>
        <w:rPr>
          <w:rFonts w:ascii="Times New Roman" w:hAnsi="Times New Roman" w:cs="Times New Roman"/>
        </w:rPr>
      </w:pPr>
      <w:r>
        <w:rPr>
          <w:rFonts w:ascii="Times New Roman" w:hAnsi="Times New Roman" w:cs="Times New Roman"/>
        </w:rPr>
        <w:t>What is open access?</w:t>
      </w:r>
    </w:p>
    <w:p w:rsidR="00595E77" w:rsidRDefault="00595E77" w:rsidP="00595E77">
      <w:pPr>
        <w:pStyle w:val="Standard"/>
        <w:rPr>
          <w:rFonts w:ascii="Times New Roman" w:hAnsi="Times New Roman" w:cs="Times New Roman"/>
        </w:rPr>
      </w:pPr>
      <w:r>
        <w:rPr>
          <w:rFonts w:ascii="Times New Roman" w:hAnsi="Times New Roman" w:cs="Times New Roman"/>
        </w:rPr>
        <w:t>Open access publications are freely and permanently available online to anyone with an internet connection. Unrestricted use, distribution and reproduction in any medium is permitted, provided the author/editor is properly attributed.</w:t>
      </w:r>
    </w:p>
    <w:p w:rsidR="00595E77" w:rsidRDefault="00595E77" w:rsidP="00595E77">
      <w:pPr>
        <w:pStyle w:val="Standard"/>
        <w:rPr>
          <w:rFonts w:ascii="Times New Roman" w:hAnsi="Times New Roman" w:cs="Times New Roman"/>
        </w:rPr>
      </w:pPr>
      <w:r>
        <w:rPr>
          <w:rFonts w:ascii="Times New Roman" w:hAnsi="Times New Roman" w:cs="Times New Roman"/>
        </w:rPr>
        <w:t>Open access has gained tremendous support from both authors, who appreciate the increased visibility of their work, as well as science institutions and funders, who value the societal impact of freely available research results.</w:t>
      </w:r>
    </w:p>
    <w:p w:rsidR="00595E77" w:rsidRDefault="00595E77" w:rsidP="00595E77">
      <w:pPr>
        <w:pStyle w:val="Standard"/>
        <w:rPr>
          <w:rFonts w:ascii="Times New Roman" w:hAnsi="Times New Roman" w:cs="Times New Roman"/>
        </w:rPr>
      </w:pPr>
    </w:p>
    <w:p w:rsidR="00595E77" w:rsidRDefault="00595E77" w:rsidP="00595E77">
      <w:pPr>
        <w:pStyle w:val="Standard"/>
      </w:pPr>
    </w:p>
    <w:p w:rsidR="00595E77" w:rsidRDefault="00595E77" w:rsidP="00595E77">
      <w:pPr>
        <w:pStyle w:val="Standard"/>
      </w:pPr>
    </w:p>
    <w:p w:rsidR="00595E77" w:rsidRDefault="00595E77" w:rsidP="00595E77">
      <w:pPr>
        <w:pStyle w:val="Standard"/>
      </w:pPr>
      <w:r>
        <w:t>PRIVACY POLICY</w:t>
      </w:r>
    </w:p>
    <w:p w:rsidR="00595E77" w:rsidRDefault="00595E77" w:rsidP="00595E77">
      <w:pPr>
        <w:pStyle w:val="Standard"/>
      </w:pPr>
      <w:r>
        <w:t>Introduction</w:t>
      </w:r>
    </w:p>
    <w:p w:rsidR="00595E77" w:rsidRDefault="00595E77" w:rsidP="00595E77">
      <w:pPr>
        <w:pStyle w:val="NormalWeb"/>
        <w:shd w:val="clear" w:color="auto" w:fill="FFFFFF"/>
        <w:spacing w:before="300" w:after="300" w:line="375" w:lineRule="atLeast"/>
        <w:jc w:val="both"/>
      </w:pPr>
      <w:r>
        <w:rPr>
          <w:rFonts w:ascii="Segoe UI" w:hAnsi="Segoe UI" w:cs="Segoe UI"/>
          <w:sz w:val="21"/>
          <w:szCs w:val="21"/>
        </w:rPr>
        <w:t>The data collected from registered and nonregistered users of </w:t>
      </w:r>
      <w:r>
        <w:rPr>
          <w:rStyle w:val="Strong"/>
          <w:rFonts w:ascii="Segoe UI" w:hAnsi="Segoe UI" w:cs="Segoe UI"/>
          <w:sz w:val="21"/>
          <w:szCs w:val="21"/>
        </w:rPr>
        <w:t>Indian journal of clinical pharmacy and medical sciences</w:t>
      </w:r>
      <w:r>
        <w:rPr>
          <w:rFonts w:ascii="Segoe UI" w:hAnsi="Segoe UI" w:cs="Segoe UI"/>
          <w:sz w:val="21"/>
          <w:szCs w:val="21"/>
        </w:rPr>
        <w:t xml:space="preserve"> falls within the scope of the standard functioning of peer-reviewed journals. It includes information that makes communication possible for the editorial process. It is used to </w:t>
      </w:r>
      <w:proofErr w:type="gramStart"/>
      <w:r>
        <w:rPr>
          <w:rFonts w:ascii="Segoe UI" w:hAnsi="Segoe UI" w:cs="Segoe UI"/>
          <w:sz w:val="21"/>
          <w:szCs w:val="21"/>
        </w:rPr>
        <w:t>informs</w:t>
      </w:r>
      <w:proofErr w:type="gramEnd"/>
      <w:r>
        <w:rPr>
          <w:rFonts w:ascii="Segoe UI" w:hAnsi="Segoe UI" w:cs="Segoe UI"/>
          <w:sz w:val="21"/>
          <w:szCs w:val="21"/>
        </w:rPr>
        <w:t xml:space="preserve"> readers about the authorship and editing of content, and enables collecting aggregated data on readership behaviours, as well as tracking geopolitical and social elements of scholarly communication.</w:t>
      </w:r>
    </w:p>
    <w:p w:rsidR="00450C40" w:rsidRDefault="00595E77" w:rsidP="00595E77">
      <w:r>
        <w:rPr>
          <w:rStyle w:val="Strong"/>
          <w:rFonts w:ascii="Segoe UI" w:hAnsi="Segoe UI" w:cs="Segoe UI"/>
          <w:sz w:val="21"/>
          <w:szCs w:val="21"/>
        </w:rPr>
        <w:t>Indian journal of clinical pharmacy and medical sciences</w:t>
      </w:r>
      <w:r>
        <w:rPr>
          <w:rFonts w:ascii="Segoe UI" w:hAnsi="Segoe UI" w:cs="Segoe UI"/>
          <w:sz w:val="21"/>
          <w:szCs w:val="21"/>
        </w:rPr>
        <w:t xml:space="preserve"> editorial team uses this data to guide its work in publishing and improving this journal. Data that will assist in developing this publishing platform could be shared with its developer, the data will not be sold by this journal or developer, nor will it be used for purposes other than those stated here. The authors published in this journal are responsible for the human subject data that figures in the research reported here.</w:t>
      </w:r>
      <w:bookmarkStart w:id="0" w:name="_GoBack"/>
      <w:bookmarkEnd w:id="0"/>
    </w:p>
    <w:sectPr w:rsidR="00450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77"/>
    <w:rsid w:val="00595E77"/>
    <w:rsid w:val="008D6BE4"/>
    <w:rsid w:val="00BA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B64FC-78B3-4805-A058-594849C8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5E77"/>
    <w:pPr>
      <w:suppressAutoHyphens/>
      <w:autoSpaceDN w:val="0"/>
      <w:spacing w:line="256" w:lineRule="auto"/>
      <w:textAlignment w:val="baseline"/>
    </w:pPr>
    <w:rPr>
      <w:rFonts w:ascii="Calibri" w:eastAsia="Calibri" w:hAnsi="Calibri" w:cs="Calibri"/>
      <w:kern w:val="3"/>
      <w:lang w:val="en-IN" w:eastAsia="zh-CN" w:bidi="hi-IN"/>
    </w:rPr>
  </w:style>
  <w:style w:type="paragraph" w:styleId="Heading2">
    <w:name w:val="heading 2"/>
    <w:basedOn w:val="Normal"/>
    <w:next w:val="Normal"/>
    <w:link w:val="Heading2Char"/>
    <w:rsid w:val="00595E77"/>
    <w:pPr>
      <w:keepNext/>
      <w:keepLines/>
      <w:spacing w:before="360" w:after="80" w:line="240" w:lineRule="auto"/>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95E77"/>
    <w:rPr>
      <w:rFonts w:ascii="Calibri" w:eastAsia="Calibri" w:hAnsi="Calibri" w:cs="Calibri"/>
      <w:b/>
      <w:kern w:val="3"/>
      <w:sz w:val="36"/>
      <w:szCs w:val="36"/>
      <w:lang w:val="en-IN" w:eastAsia="zh-CN" w:bidi="hi-IN"/>
    </w:rPr>
  </w:style>
  <w:style w:type="paragraph" w:customStyle="1" w:styleId="Standard">
    <w:name w:val="Standard"/>
    <w:rsid w:val="00595E77"/>
    <w:pPr>
      <w:widowControl w:val="0"/>
      <w:suppressAutoHyphens/>
      <w:autoSpaceDN w:val="0"/>
      <w:spacing w:line="256" w:lineRule="auto"/>
      <w:textAlignment w:val="baseline"/>
    </w:pPr>
    <w:rPr>
      <w:rFonts w:ascii="Calibri" w:eastAsia="Calibri" w:hAnsi="Calibri" w:cs="Calibri"/>
      <w:kern w:val="3"/>
      <w:lang w:val="en-IN" w:eastAsia="zh-CN" w:bidi="hi-IN"/>
    </w:rPr>
  </w:style>
  <w:style w:type="character" w:styleId="Hyperlink">
    <w:name w:val="Hyperlink"/>
    <w:basedOn w:val="DefaultParagraphFont"/>
    <w:rsid w:val="00595E77"/>
    <w:rPr>
      <w:color w:val="0563C1"/>
      <w:u w:val="single"/>
    </w:rPr>
  </w:style>
  <w:style w:type="paragraph" w:styleId="NormalWeb">
    <w:name w:val="Normal (Web)"/>
    <w:basedOn w:val="Normal"/>
    <w:rsid w:val="00595E77"/>
    <w:pPr>
      <w:suppressAutoHyphens w:val="0"/>
      <w:spacing w:before="100" w:after="100" w:line="240" w:lineRule="auto"/>
      <w:textAlignment w:val="auto"/>
    </w:pPr>
    <w:rPr>
      <w:rFonts w:ascii="Times New Roman" w:eastAsia="Times New Roman" w:hAnsi="Times New Roman" w:cs="Times New Roman"/>
      <w:kern w:val="0"/>
      <w:sz w:val="24"/>
      <w:szCs w:val="24"/>
      <w:lang w:eastAsia="en-IN" w:bidi="ar-SA"/>
    </w:rPr>
  </w:style>
  <w:style w:type="character" w:styleId="Emphasis">
    <w:name w:val="Emphasis"/>
    <w:basedOn w:val="DefaultParagraphFont"/>
    <w:rsid w:val="00595E77"/>
    <w:rPr>
      <w:i/>
      <w:iCs/>
    </w:rPr>
  </w:style>
  <w:style w:type="character" w:styleId="Strong">
    <w:name w:val="Strong"/>
    <w:basedOn w:val="DefaultParagraphFont"/>
    <w:rsid w:val="00595E77"/>
    <w:rPr>
      <w:b/>
      <w:bCs/>
    </w:rPr>
  </w:style>
  <w:style w:type="character" w:customStyle="1" w:styleId="label">
    <w:name w:val="label"/>
    <w:basedOn w:val="DefaultParagraphFont"/>
    <w:rsid w:val="00595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reativecommons.org/licenses/by/4.0/" TargetMode="External"/><Relationship Id="rId4" Type="http://schemas.openxmlformats.org/officeDocument/2006/relationships/hyperlink" Target="https://creativecommons.org/licenses/by-nc-n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Kulkarni</dc:creator>
  <cp:keywords/>
  <dc:description/>
  <cp:lastModifiedBy>Mayur Kulkarni</cp:lastModifiedBy>
  <cp:revision>1</cp:revision>
  <dcterms:created xsi:type="dcterms:W3CDTF">2020-10-29T12:02:00Z</dcterms:created>
  <dcterms:modified xsi:type="dcterms:W3CDTF">2020-10-29T12:03:00Z</dcterms:modified>
</cp:coreProperties>
</file>