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UK Top 50 Playlist Executive Summary</w:t>
      </w:r>
    </w:p>
    <w:p>
      <w:pPr>
        <w:spacing w:after="360"/>
        <w:jc w:val="center"/>
      </w:pPr>
      <w:r>
        <w:rPr>
          <w:i/>
          <w:iCs/>
          <w:color w:val="555555"/>
          <w:sz w:val="22"/>
          <w:szCs w:val="22"/>
        </w:rPr>
        <w:t xml:space="preserve">Portfolio case study for an Atlantic Recording Corporation business scenario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Completed with Unified Mentor Pvt. Ltd. as a Data Analyst Intern from 25 April 2026 to 25 July 2026, this Entertainment-category project was submitted on 25 April 2026 and rated 8/10 (Excellent) on 5 August 2026. Atlantic Recording Corporation is only the business scenario, not the employer, client or an official engagement. This summary is the post-evaluation remediated portfolio version.</w:t>
      </w:r>
    </w:p>
    <w:p>
      <w:pPr>
        <w:pStyle w:val="Heading1"/>
        <w:spacing w:after="130" w:before="340"/>
      </w:pPr>
      <w:r>
        <w:t xml:space="preserve">Executive Overview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corrected analysis covers 27,800 chart entries across 556 reconstructed Top-50 snapshots. One date, 2025-03-01, contains two legitimate snapshots. The project now separates chart entries, song titles, recording proxies and artist credits, so repeated appearances are no longer described as unique tracks.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period-wide top-five full-credit artist share is 15.29%, while median fractional-entry snapshot HHI is 338. Collaboration represents 17.75% of chart entries but 15.61% of recording proxies. These measures describe different analytical units and should not be combined into causal claims.</w:t>
      </w:r>
    </w:p>
    <w:p>
      <w:pPr>
        <w:pStyle w:val="Heading1"/>
        <w:spacing w:after="130" w:before="340"/>
      </w:pPr>
      <w:r>
        <w:t xml:space="preserve">Key metrics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pct" w:w="50%"/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Chart entries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27,800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Dates and snapshots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555 dates; 556 snapshots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Song titles and recording proxies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803 titles; 833 proxies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Artist-credit observations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34,492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Collaboration share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17.75% entries; 15.61% proxies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Period-wide Top-5 artist-credit share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15.29%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Median fractional-entry snapshot HHI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338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Mean effective artists per snapshot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37.67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Explicit chart-entry share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32.06%</w:t>
            </w:r>
          </w:p>
        </w:tc>
      </w:tr>
      <w:tr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Average duration</w:t>
            </w:r>
          </w:p>
        </w:tc>
        <w:tc>
          <w:tcPr>
            <w:tcW w:type="pct" w:w="50%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3:17</w:t>
            </w:r>
          </w:p>
        </w:tc>
      </w:tr>
    </w:tbl>
    <w:p>
      <w:pPr>
        <w:pStyle w:val="Heading1"/>
        <w:spacing w:after="130" w:before="340"/>
      </w:pPr>
      <w:r>
        <w:t xml:space="preserve">What changed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Calendar dates and snapshots are now separate; March 1 is reconstructed as two complete position sets.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The earlier period-length-sensitive Diversity Score and custom Content Variety Index were removed. Snapshot entropy and effective artist count replace them.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Top 5, Top 10 and Top 20 are cumulative metrics. Comparisons between non-overlapping positions use 1-5, 6-10, 11-20 and 21-50.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Collaboration pair tables show both repeated co-credited chart appearances and unique collaborative recording proxies.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Recording-proxy attributes use the earliest observed metadata row after sorting by date and source row; this deterministic first-observed rule also determines the proxy collaboration share.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Artist shares are available as full artist-credit and fractional chart-entry measures.</w:t>
      </w:r>
    </w:p>
    <w:p>
      <w:pPr>
        <w:spacing w:after="80" w:before="180"/>
        <w:jc w:val="center"/>
      </w:pPr>
      <w:r>
        <w:drawing>
          <wp:inline distT="0" distB="0" distL="0" distR="0">
            <wp:extent cx="4010025" cy="3429000"/>
            <wp:effectExtent t="0" r="0" b="0" l="0"/>
            <wp:docPr id="1" name="02_concentration_curve.png" descr="Period-wide cumulative artist-credit concentration." title="Period-wide cumulative artist-credit concent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 xml:space="preserve">Period-wide cumulative artist-credit concentration.</w:t>
      </w:r>
    </w:p>
    <w:p>
      <w:pPr>
        <w:pStyle w:val="Heading1"/>
        <w:spacing w:after="130" w:before="340"/>
      </w:pPr>
      <w:r>
        <w:t xml:space="preserve">Interpretation and action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Observation: international, explicit, collaborative and release-format shares vary by chart position. Interpretation: the differences identify useful segments for further investigation. Business implication: use them to define campaign tests rather than assuming a release or collaboration tactic will change rank. Limitation: the data are observational and lack campaign spend, promotion treatment and counterfactual outcomes.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Review artist strategy with both period-wide persistence and typical-snapshot concentration in view.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Evaluate collaborations at unique-recording level before interpreting recurring chart appearances as catalogue breadth.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Test release format, clean versions and cross-border promotion with campaign-level outcomes.</w:t>
      </w:r>
    </w:p>
    <w:p>
      <w:pPr>
        <w:pStyle w:val="Heading1"/>
        <w:spacing w:after="130" w:before="340"/>
      </w:pPr>
      <w:r>
        <w:t xml:space="preserve">Data quality and limitations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Validation status is PASS. All critical checks pass. Warnings cover four missing dates, inferred snapshot reconstruction, 12 exact cross-snapshot duplicates, title collisions, metadata changes and a 0.7% unclassified nationality share.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No native track ID or snapshot timestamp is available.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Nationality mapping is manual and lacks citations in the supplied repository.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The dataset was supplied by Unified Mentor Pvt. Ltd. as part of the Data Analyst internship project materials for this Entertainment-category case study. The supplied materials do not identify the original upstream provider, collection URL, collection methodology, or formal upstream dataset license.</w:t>
      </w:r>
    </w:p>
    <w:p>
      <w:pPr>
        <w:pStyle w:val="ListParagraph"/>
        <w:numPr>
          <w:ilvl w:val="0"/>
          <w:numId w:val="1"/>
        </w:numPr>
        <w:spacing w:after="100" w:line="260"/>
      </w:pPr>
      <w:r>
        <w:rPr>
          <w:sz w:val="21"/>
          <w:szCs w:val="21"/>
        </w:rPr>
        <w:t xml:space="preserve">No causal effect can be inferred from rank-band associations.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 w:before="360"/>
      <w:jc w:val="center"/>
    </w:pPr>
    <w:rPr>
      <w:rFonts w:ascii="Aptos Display" w:cs="Aptos Display" w:eastAsia="Aptos Display" w:hAnsi="Aptos Display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30" w:before="340"/>
    </w:pPr>
    <w:rPr>
      <w:rFonts w:ascii="Aptos Display" w:cs="Aptos Display" w:eastAsia="Aptos Display" w:hAnsi="Aptos Display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40"/>
    </w:pPr>
    <w:rPr>
      <w:rFonts w:ascii="Aptos Display" w:cs="Aptos Display" w:eastAsia="Aptos Display" w:hAnsi="Aptos Display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c7f03486b1c294a764c1c64ade566b6c6f29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2026-09-22T13:28:00.668Z</dcterms:created>
  <dcterms:modified xsi:type="dcterms:W3CDTF">2026-09-22T13:28:00.669Z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