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UK Top 50 Playlist Market Structure Research Paper</w:t>
      </w:r>
    </w:p>
    <w:p>
      <w:pPr>
        <w:spacing w:after="180"/>
        <w:jc w:val="center"/>
      </w:pPr>
      <w:r>
        <w:rPr>
          <w:i/>
          <w:iCs/>
          <w:color w:val="555555"/>
          <w:sz w:val="23"/>
          <w:szCs w:val="23"/>
        </w:rPr>
        <w:t xml:space="preserve">A portfolio case study prepared around an Atlantic Recording Corporation business scenario</w:t>
      </w:r>
    </w:p>
    <w:p>
      <w:pPr>
        <w:spacing w:after="460"/>
        <w:jc w:val="center"/>
      </w:pPr>
      <w:r>
        <w:rPr>
          <w:sz w:val="20"/>
          <w:szCs w:val="20"/>
        </w:rPr>
        <w:t xml:space="preserve">2024-05-18 to 2025-11-27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Completed with Unified Mentor Pvt. Ltd. as a Data Analyst Intern from 25 April 2026 to 25 July 2026, this Entertainment-category project was submitted on 25 April 2026 and rated 8/10 (Excellent) on 5 August 2026. Atlantic Recording Corporation is only the business scenario, not the employer, client or an official engagement. This report is the post-evaluation remediated portfolio version.</w:t>
      </w:r>
    </w:p>
    <w:p>
      <w:pPr>
        <w:pStyle w:val="Heading1"/>
        <w:spacing w:after="130" w:before="340"/>
      </w:pPr>
      <w:r>
        <w:t xml:space="preserve">Executive summary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snapshot-aware analysis covers 27,800 chart entries across 555 dates and 556 reconstructed Top-50 snapshots. It distinguishes 803 raw song titles from 833 dataset-local recording proxies and 34,492 artist-credit observations.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Period-wide full-credit artist concentration is 15.29% for the five most frequent artists, with HHI 116.2. A typical snapshot has median fractional-credit HHI 338 and a mean effective artist count of 37.67. The measures are reported separately because long-run appearance persistence is not the same as concentration within one snapshot.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Collaborations account for 17.75% of chart entries and 15.61% of unique recording proxies. Explicit entries are 32.06% of observations. International artists account for 64.61% of full artist credits, while the fractional-entry method gives 70.54%. These are descriptive associations and do not establish causal effects.</w:t>
      </w:r>
    </w:p>
    <w:p>
      <w:r>
        <w:br w:type="page"/>
      </w:r>
    </w:p>
    <w:p>
      <w:pPr>
        <w:pStyle w:val="Heading1"/>
        <w:spacing w:after="130" w:before="340"/>
      </w:pPr>
      <w:r>
        <w:t xml:space="preserve">1 Project objective and analytical units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project examines artist presence, collaboration, content explicitness, release format, duration and nationality within the supplied UK Top 50 dataset. The analysis is a portfolio case study, not evidence of an official engagement.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pct" w:w="72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pct" w:w="2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chart entry</w:t>
            </w:r>
          </w:p>
        </w:tc>
        <w:tc>
          <w:tcPr>
            <w:tcW w:type="pct" w:w="72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one observed rank within one reconstructed snapshot</w:t>
            </w:r>
          </w:p>
        </w:tc>
      </w:tr>
      <w:tr>
        <w:tc>
          <w:tcPr>
            <w:tcW w:type="pct" w:w="2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snapshot</w:t>
            </w:r>
          </w:p>
        </w:tc>
        <w:tc>
          <w:tcPr>
            <w:tcW w:type="pct" w:w="72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one complete ordered Top-50 ranking; boundaries inferred from resets to position 1</w:t>
            </w:r>
          </w:p>
        </w:tc>
      </w:tr>
      <w:tr>
        <w:tc>
          <w:tcPr>
            <w:tcW w:type="pct" w:w="2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artist credit</w:t>
            </w:r>
          </w:p>
        </w:tc>
        <w:tc>
          <w:tcPr>
            <w:tcW w:type="pct" w:w="72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one credited artist on one chart entry</w:t>
            </w:r>
          </w:p>
        </w:tc>
      </w:tr>
      <w:tr>
        <w:tc>
          <w:tcPr>
            <w:tcW w:type="pct" w:w="2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song title</w:t>
            </w:r>
          </w:p>
        </w:tc>
        <w:tc>
          <w:tcPr>
            <w:tcW w:type="pct" w:w="72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raw textual song value; not a track identifier</w:t>
            </w:r>
          </w:p>
        </w:tc>
      </w:tr>
      <w:tr>
        <w:tc>
          <w:tcPr>
            <w:tcW w:type="pct" w:w="2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recording proxy</w:t>
            </w:r>
          </w:p>
        </w:tc>
        <w:tc>
          <w:tcPr>
            <w:tcW w:type="pct" w:w="72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normalised title + exact duration_ms; dataset-local and not a global ID</w:t>
            </w:r>
          </w:p>
        </w:tc>
      </w:tr>
      <w:tr>
        <w:tc>
          <w:tcPr>
            <w:tcW w:type="pct" w:w="2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recording proxy metadata</w:t>
            </w:r>
          </w:p>
        </w:tc>
        <w:tc>
          <w:tcPr>
            <w:tcW w:type="pct" w:w="72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one canonical row per proxy using the earliest observed metadata after sorting by date and source_row_id; this deterministic first-observed rule is also used for proxy-level collaboration attributes</w:t>
            </w:r>
          </w:p>
        </w:tc>
      </w:tr>
    </w:tbl>
    <w:p>
      <w:pPr>
        <w:pStyle w:val="Heading1"/>
        <w:spacing w:after="130" w:before="340"/>
      </w:pPr>
      <w:r>
        <w:t xml:space="preserve">2 Data preparation and quality</w:t>
      </w:r>
    </w:p>
    <w:p>
      <w:pPr>
        <w:pStyle w:val="Heading2"/>
        <w:spacing w:after="130" w:before="240"/>
      </w:pPr>
      <w:r>
        <w:t xml:space="preserve">2.1 Snapshot reconstruction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snapshot is one ordered ranking, not one calendar date. Source row order is preserved. Within a date, a later reset to position 1 starts a new deterministic snapshot sequence. This rule reconstructs 2025-03-01 as two complete snapshots, 2025-03-01__1 and 2025-03-01__2.</w:t>
      </w:r>
    </w:p>
    <w:p>
      <w:pPr>
        <w:pStyle w:val="Heading2"/>
        <w:spacing w:after="130" w:before="240"/>
      </w:pPr>
      <w:r>
        <w:t xml:space="preserve">2.2 Duplicate policy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Twelve exact source duplicates occur across the two legitimate March 1 snapshots. They are retained because they represent observations in different inferred snapshots. Only an exact repeated source row inside the same snapshot would be removed from processed analytical data; no row meets that rule.</w:t>
      </w:r>
    </w:p>
    <w:p>
      <w:pPr>
        <w:pStyle w:val="Heading2"/>
        <w:spacing w:after="130" w:before="240"/>
      </w:pPr>
      <w:r>
        <w:t xml:space="preserve">2.3 Recording proxy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Spotify track ID, ISRC or other native recording identifier is present. The recording_proxy_id is a deterministic dataset-local key formed from a conservative normalised title and exact duration in milliseconds. Artist credits are excluded from identity because 25 identical title-duration combinations show changing billed credits. Title alone merges distinct-duration recordings, while a two-second tolerance introduces an arbitrary merge rule. For proxy-level attributes, the canonical recording table keeps the earliest observed row after sorting by date and source_row_id. This first-observed rule is deterministic and is also used for the recording-proxy collaboration share; it is not a claim that the first observed metadata is a globally authoritative recording record.</w:t>
      </w:r>
    </w:p>
    <w:p>
      <w:pPr>
        <w:pStyle w:val="Heading2"/>
        <w:spacing w:after="130" w:before="240"/>
      </w:pPr>
      <w:r>
        <w:t xml:space="preserve">2.4 Artist parsing, weighting and rank semantics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Protected act names are parsed before general collaborator delimiters, then casing variants are canonicalised deterministically. Full-credit measures give every credited artist one unit; fractional measures divide each chart entry equally across its credited artists. Top 5, Top 10 and Top 20 are cumulative thresholds, while 1-5, 6-10, 11-20 and 21-50 are mutually exclusive bands.</w:t>
      </w:r>
    </w:p>
    <w:p>
      <w:pPr>
        <w:pStyle w:val="Heading2"/>
        <w:spacing w:after="130" w:before="240"/>
      </w:pPr>
      <w:r>
        <w:t xml:space="preserve">2.5 Quality findings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Four calendar dates are absent; no observations are imputed.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The position reset on 2025-03-01 reconstructs two complete Top-50 snapshots.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Twelve exact source duplicates occur across those separate snapshots and are retained.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Unclassified nationality accounts for 0.7% of full artist credits.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Observed metadata changes affect 3 song labels, 48 album types, 59 total-track values, 11 explicit flags and 25 apparent credited-artist sets.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33 normalised titles map to more than one exact-duration recording proxy, confirming that title alone is not a safe track identifier.</w:t>
      </w:r>
    </w:p>
    <w:p>
      <w:pPr>
        <w:pStyle w:val="Heading1"/>
        <w:spacing w:after="130" w:before="340"/>
      </w:pPr>
      <w:r>
        <w:t xml:space="preserve">3 Artist presence diversity and concentration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dataset contains 359 parsed artists and 34,492 full artist-credit observations. Full credit gives every credited artist one appearance. Fractional credit divides each chart entry equally among its credited artists so every entry sums to one.</w:t>
      </w:r>
    </w:p>
    <w:p>
      <w:pPr>
        <w:spacing w:after="80" w:before="180"/>
        <w:jc w:val="center"/>
      </w:pPr>
      <w:r>
        <w:drawing>
          <wp:inline distT="0" distB="0" distL="0" distR="0">
            <wp:extent cx="4248150" cy="3143250"/>
            <wp:effectExtent t="0" r="0" b="0" l="0"/>
            <wp:docPr id="1" name="01_top_artists.png" descr="Figure 1. Leading artists by repeated full artist-credit appearances." title="Figure 1. Leading artists by repeated full artist-credit appearanc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1. Leading artists by repeated full artist-credit appearances.</w:t>
      </w:r>
    </w:p>
    <w:p>
      <w:pPr>
        <w:spacing w:after="80" w:before="180"/>
        <w:jc w:val="center"/>
      </w:pPr>
      <w:r>
        <w:drawing>
          <wp:inline distT="0" distB="0" distL="0" distR="0">
            <wp:extent cx="3676650" cy="3143250"/>
            <wp:effectExtent t="0" r="0" b="0" l="0"/>
            <wp:docPr id="1" name="02_concentration_curve.png" descr="Figure 2. Period-wide cumulative artist-credit concentration." title="Figure 2. Period-wide cumulative artist-credit concen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2. Period-wide cumulative artist-credit concentration.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Across snapshots, mean unique credited artists are 48.53; mean bounded artist-credit uniqueness is 0.781; mean fractional-weight Shannon entropy is 3.585; and mean effective artist count is 37.67. The uniqueness ratio divides distinct credited artists by artist-credit observations, so collaboration cannot push it above one. Effective count is calculated per snapshot as exp(H), then averaged; it is not exp(mean H).</w:t>
      </w:r>
    </w:p>
    <w:p>
      <w:pPr>
        <w:spacing w:after="80" w:before="180"/>
        <w:jc w:val="center"/>
      </w:pPr>
      <w:r>
        <w:drawing>
          <wp:inline distT="0" distB="0" distL="0" distR="0">
            <wp:extent cx="5715000" cy="2819400"/>
            <wp:effectExtent t="0" r="0" b="0" l="0"/>
            <wp:docPr id="1" name="15_diversity_trend.png" descr="Figure 3. Snapshot artist variety over time." title="Figure 3. Snapshot artist variety over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3. Snapshot artist variety over time.</w:t>
      </w:r>
    </w:p>
    <w:p>
      <w:pPr>
        <w:pStyle w:val="Heading1"/>
        <w:spacing w:after="130" w:before="340"/>
      </w:pPr>
      <w:r>
        <w:t xml:space="preserve">4 Collaboration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Collaborative chart entries represent 17.75% of repeated observations, compared with 15.61% of distinct recording proxies. The average is 1.241 credited artists per chart entry and 1.197 per recording proxy.</w:t>
      </w:r>
    </w:p>
    <w:p>
      <w:pPr>
        <w:spacing w:after="80" w:before="180"/>
        <w:jc w:val="center"/>
      </w:pPr>
      <w:r>
        <w:drawing>
          <wp:inline distT="0" distB="0" distL="0" distR="0">
            <wp:extent cx="4295775" cy="3143250"/>
            <wp:effectExtent t="0" r="0" b="0" l="0"/>
            <wp:docPr id="1" name="03_solo_vs_collab.png" descr="Figure 4. Solo and collaborative chart-entry observations." title="Figure 4. Solo and collaborative chart-entry observa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4. Solo and collaborative chart-entry observations.</w:t>
      </w:r>
    </w:p>
    <w:p>
      <w:pPr>
        <w:spacing w:after="80" w:before="180"/>
        <w:jc w:val="center"/>
      </w:pPr>
      <w:r>
        <w:drawing>
          <wp:inline distT="0" distB="0" distL="0" distR="0">
            <wp:extent cx="4438650" cy="3143250"/>
            <wp:effectExtent t="0" r="0" b="0" l="0"/>
            <wp:docPr id="1" name="04_collab_by_rank.png" descr="Figure 5. Collaboration share by mutually exclusive rank band." title="Figure 5. Collaboration share by mutually exclusive rank b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5. Collaboration share by mutually exclusive rank band.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Pair counts distinguish co-credited chart-entry appearances from unique collaborative recording proxies. For example, a pair recurring across many snapshots can have a large appearance count even when it represents only one recording proxy.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Rank</w:t>
            </w:r>
          </w:p>
        </w:tc>
        <w:tc>
          <w:tcPr>
            <w:tcW w:type="pct" w:w="25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Artist A</w:t>
            </w:r>
          </w:p>
        </w:tc>
        <w:tc>
          <w:tcPr>
            <w:tcW w:type="pct" w:w="25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Artist B</w:t>
            </w:r>
          </w:p>
        </w:tc>
        <w:tc>
          <w:tcPr>
            <w:tcW w:type="pct" w:w="21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Chart appearances</w:t>
            </w:r>
          </w:p>
        </w:tc>
        <w:tc>
          <w:tcPr>
            <w:tcW w:type="pct" w:w="21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Recording proxies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Central Cee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Dave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392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D-Block Europe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RAYE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349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D-Block Europe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cassö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349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RAYE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cassö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349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Madonna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Weeknd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208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Bou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Chase &amp; Status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196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Bou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Flowdan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196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Chase &amp; Status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Flowdan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196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Becky Hill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Chase &amp; Status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157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pct" w:w="8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BL3SS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CamrinWatsin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148</w:t>
            </w:r>
          </w:p>
        </w:tc>
        <w:tc>
          <w:tcPr>
            <w:tcW w:type="pct" w:w="21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</w:tbl>
    <w:p>
      <w:pPr>
        <w:pStyle w:val="Heading1"/>
        <w:spacing w:after="130" w:before="340"/>
      </w:pPr>
      <w:r>
        <w:t xml:space="preserve">5 Content release format duration and nationality</w:t>
      </w:r>
    </w:p>
    <w:p>
      <w:pPr>
        <w:pStyle w:val="Heading2"/>
        <w:spacing w:after="130" w:before="240"/>
      </w:pPr>
      <w:r>
        <w:t xml:space="preserve">5.1 Explicit content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Explicit content is 32.06% of chart-entry observations. Cumulative positions 1-5, 1-10 and 1-20 are 40%, 40.4% and 36.87%, respectively. Exclusive-band figures are reported separately.</w:t>
      </w:r>
    </w:p>
    <w:p>
      <w:pPr>
        <w:spacing w:after="80" w:before="180"/>
        <w:jc w:val="center"/>
      </w:pPr>
      <w:r>
        <w:drawing>
          <wp:inline distT="0" distB="0" distL="0" distR="0">
            <wp:extent cx="4438650" cy="3143250"/>
            <wp:effectExtent t="0" r="0" b="0" l="0"/>
            <wp:docPr id="1" name="07_explicit_by_rank.png" descr="Figure 6. Explicit share by exclusive rank band." title="Figure 6. Explicit share by exclusive rank b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6. Explicit share by exclusive rank band.</w:t>
      </w:r>
    </w:p>
    <w:p>
      <w:pPr>
        <w:pStyle w:val="Heading2"/>
        <w:spacing w:after="130" w:before="240"/>
      </w:pPr>
      <w:r>
        <w:t xml:space="preserve">5.2 Release format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Album entries are 59.96% and single entries are 39.76% of repeated observations. These shares describe entry composition; they do not estimate the causal effect of releasing an album or single.</w:t>
      </w:r>
    </w:p>
    <w:p>
      <w:pPr>
        <w:spacing w:after="80" w:before="180"/>
        <w:jc w:val="center"/>
      </w:pPr>
      <w:r>
        <w:drawing>
          <wp:inline distT="0" distB="0" distL="0" distR="0">
            <wp:extent cx="5095875" cy="3143250"/>
            <wp:effectExtent t="0" r="0" b="0" l="0"/>
            <wp:docPr id="1" name="10_release_format_by_rank.png" descr="Figure 7. Release-format share by exclusive rank band." title="Figure 7. Release-format share by exclusive rank b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7. Release-format share by exclusive rank band.</w:t>
      </w:r>
    </w:p>
    <w:p>
      <w:pPr>
        <w:pStyle w:val="Heading2"/>
        <w:spacing w:after="130" w:before="240"/>
      </w:pPr>
      <w:r>
        <w:t xml:space="preserve">5.3 Duration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Mean duration is 3:17 (197.3 seconds). Duration-popularity relationships are observational and include repeated appearances of the same recording proxies.</w:t>
      </w:r>
    </w:p>
    <w:p>
      <w:pPr>
        <w:spacing w:after="80" w:before="180"/>
        <w:jc w:val="center"/>
      </w:pPr>
      <w:r>
        <w:drawing>
          <wp:inline distT="0" distB="0" distL="0" distR="0">
            <wp:extent cx="4429125" cy="3143250"/>
            <wp:effectExtent t="0" r="0" b="0" l="0"/>
            <wp:docPr id="1" name="11_duration_distribution.png" descr="Figure 8. Duration distribution across chart-entry observations." title="Figure 8. Duration distribution across chart-entry observa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8. Duration distribution across chart-entry observations.</w:t>
      </w:r>
    </w:p>
    <w:p>
      <w:pPr>
        <w:pStyle w:val="Heading2"/>
        <w:spacing w:after="130" w:before="240"/>
      </w:pPr>
      <w:r>
        <w:t xml:space="preserve">5.4 Nationality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Under full artist-credit weighting, UK/Domestic share is 34.68% and international share is 64.61%. Under fractional-entry weighting, the values are 29% and 70.54%. Unclassified artists remain separate.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Nationality is a manually curated classification of the billed act's primary origin. Groups follow the billed act rather than individual members; multinational or uncertain acts remain Unclassified. The supplied project contains no structured citations for individual mappings, so the classification requires source review before external publication.</w:t>
      </w:r>
    </w:p>
    <w:p>
      <w:pPr>
        <w:spacing w:after="80" w:before="180"/>
        <w:jc w:val="center"/>
      </w:pPr>
      <w:r>
        <w:drawing>
          <wp:inline distT="0" distB="0" distL="0" distR="0">
            <wp:extent cx="3848100" cy="3143250"/>
            <wp:effectExtent t="0" r="0" b="0" l="0"/>
            <wp:docPr id="1" name="13_domestic_vs_international.png" descr="Figure 9. Nationality share using full artist-credit weighting." title="Figure 9. Nationality share using full artist-credit weight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Figure 9. Nationality share using full artist-credit weighting.</w:t>
      </w:r>
    </w:p>
    <w:p>
      <w:pPr>
        <w:pStyle w:val="Heading1"/>
        <w:spacing w:after="130" w:before="340"/>
      </w:pPr>
      <w:r>
        <w:t xml:space="preserve">6 Business interpretation</w:t>
      </w:r>
    </w:p>
    <w:p>
      <w:pPr>
        <w:pStyle w:val="Heading2"/>
        <w:spacing w:after="130" w:before="240"/>
      </w:pPr>
      <w:r>
        <w:t xml:space="preserve">Observation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Artist, collaboration, explicitness, release-format and nationality shares vary across exclusive rank bands and across the observation period.</w:t>
      </w:r>
    </w:p>
    <w:p>
      <w:pPr>
        <w:pStyle w:val="Heading2"/>
        <w:spacing w:after="130" w:before="240"/>
      </w:pPr>
      <w:r>
        <w:t xml:space="preserve">Interpretation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patterns identify segments and recurring artist-credit relationships that merit campaign-level investigation. They are consistent with several plausible mechanisms, but the dataset does not contain treatment assignment, promotion spend, label inputs or counterfactual outcomes.</w:t>
      </w:r>
    </w:p>
    <w:p>
      <w:pPr>
        <w:pStyle w:val="Heading2"/>
        <w:spacing w:after="130" w:before="240"/>
      </w:pPr>
      <w:r>
        <w:t xml:space="preserve">Business implication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Use cumulative Top-5, Top-10 and Top-20 metrics for threshold questions and exclusive bands for comparisons between non-overlapping positions.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Evaluate collaboration hypotheses at both entry and unique-recording level so repeated persistence is not mistaken for a large catalogue of collaborations.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Test clean and explicit versions, single and album sequencing, and domestic or cross-border campaigns with campaign-level outcomes before claiming performance effects.</w:t>
      </w:r>
    </w:p>
    <w:p>
      <w:pPr>
        <w:pStyle w:val="Heading2"/>
        <w:spacing w:after="130" w:before="240"/>
      </w:pPr>
      <w:r>
        <w:t xml:space="preserve">Limitation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source is observational and covers a supplied playlist or chart-style dataset rather than a randomized release-strategy experiment.</w:t>
      </w:r>
    </w:p>
    <w:p>
      <w:pPr>
        <w:pStyle w:val="Heading1"/>
        <w:spacing w:after="130" w:before="340"/>
      </w:pPr>
      <w:r>
        <w:t xml:space="preserve">7 Limitations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Snapshot boundaries are inferred from row order and position resets because no native timestamp or snapshot identifier is present.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The recording proxy is dataset-local and may split or combine recordings differently from a Spotify ID or ISRC.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Four calendar dates are absent and are not imputed.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Nationality mapping is manually curated. The repository contains no source citations for the mappings, so external source review is required before publication.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Artist-credit metadata, release format, total track count and explicit flags can vary over time; the recording table reports these instabilities and uses the documented deterministic first-observed metadata rule.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The analysis is descriptive. Recommendations are hypotheses to test, not demonstrated causal effects.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The dataset was supplied by Unified Mentor Pvt. Ltd. as part of the Data Analyst internship project materials for this Entertainment-category case study. The supplied materials do not identify the original upstream provider, collection URL, collection methodology, or formal upstream dataset license.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 w:before="360"/>
      <w:jc w:val="center"/>
    </w:pPr>
    <w:rPr>
      <w:rFonts w:ascii="Aptos Display" w:cs="Aptos Display" w:eastAsia="Aptos Display" w:hAnsi="Aptos Display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30" w:before="340"/>
    </w:pPr>
    <w:rPr>
      <w:rFonts w:ascii="Aptos Display" w:cs="Aptos Display" w:eastAsia="Aptos Display" w:hAnsi="Aptos Display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40"/>
    </w:pPr>
    <w:rPr>
      <w:rFonts w:ascii="Aptos Display" w:cs="Aptos Display" w:eastAsia="Aptos Display" w:hAnsi="Aptos Display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f778017aa4bfad5dc15a8395c30a820089bae5.png"/><Relationship Id="rId8" Type="http://schemas.openxmlformats.org/officeDocument/2006/relationships/image" Target="media/90c7f03486b1c294a764c1c64ade566b6c6f2939.png"/><Relationship Id="rId9" Type="http://schemas.openxmlformats.org/officeDocument/2006/relationships/image" Target="media/f56391416aaccd58dc24107a25d67f947d70a8b8.png"/><Relationship Id="rId10" Type="http://schemas.openxmlformats.org/officeDocument/2006/relationships/image" Target="media/30254b09121a1a4dae767771b2d95282245f849e.png"/><Relationship Id="rId11" Type="http://schemas.openxmlformats.org/officeDocument/2006/relationships/image" Target="media/8c595c7edb3d516a37091ec7b9e47c243b846525.png"/><Relationship Id="rId12" Type="http://schemas.openxmlformats.org/officeDocument/2006/relationships/image" Target="media/0479c07224368d96f63290a12060a9984dbc937f.png"/><Relationship Id="rId13" Type="http://schemas.openxmlformats.org/officeDocument/2006/relationships/image" Target="media/fae9d822a807c53e568824f4ceae40badbf8b26c.png"/><Relationship Id="rId14" Type="http://schemas.openxmlformats.org/officeDocument/2006/relationships/image" Target="media/fa9792c13d735439003a719d3f61b38c459df4ed.png"/><Relationship Id="rId15" Type="http://schemas.openxmlformats.org/officeDocument/2006/relationships/image" Target="media/ee8ff1b9ba0bd65695f8e22b2c2513a88660fc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2026-09-22T13:28:00.322Z</dcterms:created>
  <dcterms:modified xsi:type="dcterms:W3CDTF">2026-09-22T13:28:00.323Z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