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" w:hAnsi="Aptos"/>
          <w:b/>
          <w:color w:val="666666"/>
          <w:sz w:val="17"/>
        </w:rPr>
        <w:t>UNIFIED MENTOR PVT. LTD. · DATA ANALYST INTERNSHIP · MANUFACTURING CATEGORY</w:t>
      </w:r>
    </w:p>
    <w:p>
      <w:pPr>
        <w:jc w:val="center"/>
      </w:pPr>
      <w:r>
        <w:rPr>
          <w:b/>
          <w:color w:val="1F4E79"/>
          <w:sz w:val="50"/>
        </w:rPr>
        <w:t>Executive Summary</w:t>
      </w:r>
    </w:p>
    <w:p>
      <w:pPr>
        <w:spacing w:after="80"/>
        <w:jc w:val="center"/>
      </w:pPr>
      <w:r>
        <w:rPr>
          <w:b/>
          <w:color w:val="B22222"/>
          <w:sz w:val="26"/>
        </w:rPr>
        <w:t>AI-Based Manufacturing Efficiency Classification</w:t>
      </w:r>
    </w:p>
    <w:p>
      <w:pPr>
        <w:jc w:val="center"/>
      </w:pPr>
      <w:r>
        <w:rPr>
          <w:i/>
          <w:color w:val="666666"/>
          <w:sz w:val="17"/>
        </w:rPr>
        <w:t>Thales Group business scenario · Post-evaluation validated portfolio version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2F2F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34"/>
              </w:rPr>
              <w:t>100,000</w:t>
            </w:r>
          </w:p>
          <w:p>
            <w:pPr>
              <w:jc w:val="center"/>
            </w:pPr>
            <w:r>
              <w:rPr>
                <w:color w:val="666666"/>
                <w:sz w:val="15"/>
              </w:rPr>
              <w:t>machine readings analyzed</w:t>
            </w:r>
          </w:p>
        </w:tc>
        <w:tc>
          <w:tcPr>
            <w:tcW w:type="dxa" w:w="3389"/>
            <w:shd w:fill="F2F2F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34"/>
              </w:rPr>
              <w:t>50</w:t>
            </w:r>
          </w:p>
          <w:p>
            <w:pPr>
              <w:jc w:val="center"/>
            </w:pPr>
            <w:r>
              <w:rPr>
                <w:color w:val="666666"/>
                <w:sz w:val="15"/>
              </w:rPr>
              <w:t>machines in the supplied dataset</w:t>
            </w:r>
          </w:p>
        </w:tc>
        <w:tc>
          <w:tcPr>
            <w:tcW w:type="dxa" w:w="3389"/>
            <w:shd w:fill="F2F2F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34"/>
              </w:rPr>
              <w:t>77.8%</w:t>
            </w:r>
          </w:p>
          <w:p>
            <w:pPr>
              <w:jc w:val="center"/>
            </w:pPr>
            <w:r>
              <w:rPr>
                <w:color w:val="666666"/>
                <w:sz w:val="15"/>
              </w:rPr>
              <w:t>records labelled Low</w:t>
            </w:r>
          </w:p>
        </w:tc>
      </w:tr>
      <w:tr>
        <w:tc>
          <w:tcPr>
            <w:tcW w:type="dxa" w:w="3389"/>
            <w:shd w:fill="F2F2F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34"/>
              </w:rPr>
              <w:t>2</w:t>
            </w:r>
          </w:p>
          <w:p>
            <w:pPr>
              <w:jc w:val="center"/>
            </w:pPr>
            <w:r>
              <w:rPr>
                <w:color w:val="666666"/>
                <w:sz w:val="15"/>
              </w:rPr>
              <w:t>rule disagreements in 100,000 records</w:t>
            </w:r>
          </w:p>
        </w:tc>
        <w:tc>
          <w:tcPr>
            <w:tcW w:type="dxa" w:w="3389"/>
            <w:shd w:fill="F2F2F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34"/>
              </w:rPr>
              <w:t>1.000</w:t>
            </w:r>
          </w:p>
          <w:p>
            <w:pPr>
              <w:jc w:val="center"/>
            </w:pPr>
            <w:r>
              <w:rPr>
                <w:color w:val="666666"/>
                <w:sz w:val="15"/>
              </w:rPr>
              <w:t>rule Macro F1 on final holdout</w:t>
            </w:r>
          </w:p>
        </w:tc>
        <w:tc>
          <w:tcPr>
            <w:tcW w:type="dxa" w:w="3389"/>
            <w:shd w:fill="F2F2F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34"/>
              </w:rPr>
              <w:t>12/12</w:t>
            </w:r>
          </w:p>
          <w:p>
            <w:pPr>
              <w:jc w:val="center"/>
            </w:pPr>
            <w:r>
              <w:rPr>
                <w:color w:val="666666"/>
                <w:sz w:val="15"/>
              </w:rPr>
              <w:t>automated sanity checks passed</w:t>
            </w:r>
          </w:p>
        </w:tc>
      </w:tr>
    </w:tbl>
    <w:p/>
    <w:p>
      <w:pPr>
        <w:pStyle w:val="Heading1"/>
      </w:pPr>
      <w:r>
        <w:t>Purpose</w:t>
      </w:r>
    </w:p>
    <w:p>
      <w:r>
        <w:t>This Unified Mentor Manufacturing-category project evaluates current manufacturing efficiency classification using production, quality, sensor, maintenance and network telemetry. The Thales Group name is used as the business scenario for the portfolio case study; this document does not represent an official Thales engagement or production deployment.</w:t>
      </w:r>
    </w:p>
    <w:p>
      <w:pPr>
        <w:pStyle w:val="Heading1"/>
      </w:pPr>
      <w:r>
        <w:t>Original Evaluation and Why the Project Was Revisited</w:t>
      </w:r>
    </w:p>
    <w:p>
      <w:r>
        <w:t>The original internship submission received an 8/10 (Excellent) evaluation. The evaluator praised the breadth of the 100,000-record manufacturing dashboard but recommended stronger model evaluation because the target is highly imbalanced and very high agreement or confidence can overstate minority-class performance.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</w:rPr>
              <w:t xml:space="preserve">Key validation finding: </w:t>
            </w:r>
            <w:r>
              <w:t>The post-evaluation audit uncovered a deeper issue: the supplied Efficiency_Status label is almost entirely reconstructable from contemporaneous Error_Rate_% and Production_Speed_units_per_hr. Near-perfect ML performance must therefore be interpreted as current-state rule reconstruction, not as independent future predictive capability.</w:t>
            </w:r>
          </w:p>
        </w:tc>
      </w:tr>
    </w:tbl>
    <w:p>
      <w:pPr>
        <w:spacing w:after="0"/>
      </w:pPr>
    </w:p>
    <w:p>
      <w:pPr>
        <w:pStyle w:val="Heading1"/>
      </w:pPr>
      <w:r>
        <w:t>Data Quality</w:t>
      </w:r>
    </w:p>
    <w:p>
      <w:r>
        <w:t>The audited source contains 100,000 timestamped observations across 50 machines from 1 January to 10 March 2025. No missing values and no duplicate rows were found. The target distribution is strongly imbalanced: 77,825 Low (77.8%), 19,189 Medium (19.2%) and 2,986 High (3.0%).</w:t>
      </w:r>
    </w:p>
    <w:p>
      <w:r>
        <w:br w:type="page"/>
      </w:r>
    </w:p>
    <w:p>
      <w:pPr>
        <w:pStyle w:val="Heading1"/>
      </w:pPr>
      <w:r>
        <w:t>What the Data Supports</w:t>
      </w:r>
    </w:p>
    <w:p>
      <w:r>
        <w:t>The strongest supported result is a transparent current-state decision rule. Across the full dataset, the rule below disagrees with only two logged labels. Those two records sit exactly at the 5.0% error-rate boundary, indicating a likely boundary/rounding inconsistency rather than broad model uncertainty.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r>
              <w:rPr>
                <w:b/>
                <w:color w:val="FFFFFF"/>
                <w:sz w:val="17"/>
              </w:rPr>
              <w:t>Current-state classification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Error Rate &gt; 5% OR Production Speed &lt; 200 units/hr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Error Rate ≤ 2% AND Production Speed ≥ 400 units/hr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Otherwise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Medium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567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ule_geome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56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1. Error rate and production speed nearly reconstruct the supplied current-state efficiency label.</w:t>
      </w:r>
    </w:p>
    <w:p>
      <w:pPr>
        <w:pStyle w:val="Heading1"/>
      </w:pPr>
      <w:r>
        <w:t>Final Holdout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4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254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Balanced Acc.</w:t>
            </w:r>
          </w:p>
        </w:tc>
        <w:tc>
          <w:tcPr>
            <w:tcW w:type="dxa" w:w="254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Macro F1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Majority baseline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77.995%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33.333%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29.212%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Transparent rule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100.000%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100.000%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100.000%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Logistic Regression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88.150%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90.009%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82.012%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Random Forest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100.000%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100.000%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100.000%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XGBoost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99.755%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99.756%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6"/>
              </w:rPr>
              <w:t>99.680%</w:t>
            </w:r>
          </w:p>
        </w:tc>
      </w:tr>
    </w:tbl>
    <w:p>
      <w:pPr>
        <w:spacing w:after="0"/>
      </w:pPr>
    </w:p>
    <w:p>
      <w:r>
        <w:t>Accuracy is deliberately reported alongside balanced accuracy and Macro F1. A majority-only classifier already reaches about 78% accuracy, demonstrating why headline accuracy alone is not sufficient for this dataset.</w:t>
      </w:r>
    </w:p>
    <w:p>
      <w:pPr>
        <w:pStyle w:val="Heading1"/>
      </w:pPr>
      <w:r>
        <w:t>Why the Near-Perfect ML Scores Need Context</w:t>
      </w:r>
    </w:p>
    <w:p>
      <w:r>
        <w:t>Feature ablation tests whether strong model performance survives after target-defining information is removed. Removing only the two direct rule variables is not a fully independent test because derived ratios still encode them. The decisive test removes both direct and derived rule-linked features.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6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eature_ab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6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2. Balanced performance collapses when all direct and derived rule-linked features are removed.</w:t>
      </w:r>
    </w:p>
    <w:p>
      <w:r>
        <w:t>With sensor/network-only features, balanced accuracy falls to 33.2%, Macro F1 to 33.1%, and High-class recall to 3.9%. This supports the conclusion that the remaining telemetry carries little independent signal for the supplied label.</w:t>
      </w:r>
    </w:p>
    <w:p>
      <w:pPr>
        <w:pStyle w:val="Heading1"/>
      </w:pPr>
      <w:r>
        <w:t>Future Prediction Was Tested - and Rejected</w:t>
      </w:r>
    </w:p>
    <w:p>
      <w:r>
        <w:t>The project separately tested whether current machine state and telemetry support future-efficiency forecasting. Consecutive observations for a machine are irregularly spaced (median 34 minutes; maximum 514 minutes), so next-row horizons are not fixed clock-time forecasts. Across next-observation and longer observation-step checks, status persistence is essentially what would be expected by chance.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158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uture_sig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58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3. Next-observation status persistence is effectively indistinguishable from chance agreement.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</w:rPr>
              <w:t xml:space="preserve">Decision: </w:t>
            </w:r>
            <w:r>
              <w:t>The final project does not claim predictive maintenance, future-risk prediction or causal sensor/network effects. The supported use cases are descriptive analytics, current-state classification, validation, explainability and operational monitoring.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Delivered Dashboard</w:t>
      </w:r>
    </w:p>
    <w:p>
      <w:r>
        <w:t>The revised Streamlit application is organized around five project-specific modules and makes the methodology limitation visible to the user rather than hiding it behind model confidence scores.</w:t>
      </w:r>
    </w:p>
    <w:p>
      <w:pPr>
        <w:pStyle w:val="ListBullet"/>
        <w:spacing w:after="40"/>
      </w:pPr>
      <w:r>
        <w:t>Current-State Classification - transparent business rule plus Logistic Regression, Random Forest and XGBoost benchmarks; manual what-if inputs and filtered-batch agreement checks.</w:t>
      </w:r>
    </w:p>
    <w:p>
      <w:pPr>
        <w:pStyle w:val="ListBullet"/>
        <w:spacing w:after="40"/>
      </w:pPr>
      <w:r>
        <w:t>Machine Insights - machine-level historical patterns, rankings and summary views.</w:t>
      </w:r>
    </w:p>
    <w:p>
      <w:pPr>
        <w:pStyle w:val="ListBullet"/>
        <w:spacing w:after="40"/>
      </w:pPr>
      <w:r>
        <w:t>Explainability - SHAP and model-attribution views interpreted as current-state model explanations, not causal drivers.</w:t>
      </w:r>
    </w:p>
    <w:p>
      <w:pPr>
        <w:pStyle w:val="ListBullet"/>
        <w:spacing w:after="40"/>
      </w:pPr>
      <w:r>
        <w:t>Operational Monitoring - operation-mode, network-reliability and threshold-based current-state monitoring.</w:t>
      </w:r>
    </w:p>
    <w:p>
      <w:pPr>
        <w:pStyle w:val="ListBullet"/>
        <w:spacing w:after="40"/>
      </w:pPr>
      <w:r>
        <w:t>Model Validation - class imbalance, baselines, chronological validation, ablation and temporal-signal limitations.</w:t>
      </w:r>
    </w:p>
    <w:p>
      <w:pPr>
        <w:pStyle w:val="Heading1"/>
      </w:pPr>
      <w:r>
        <w:t>Recommendations</w:t>
      </w:r>
    </w:p>
    <w:p>
      <w:pPr>
        <w:pStyle w:val="ListNumber"/>
        <w:spacing w:after="40"/>
      </w:pPr>
      <w:r>
        <w:t>Use the transparent business rule as the primary decision method for the supplied current-state label; it is simpler, auditable and directly reproduces the target definition.</w:t>
      </w:r>
    </w:p>
    <w:p>
      <w:pPr>
        <w:pStyle w:val="ListNumber"/>
        <w:spacing w:after="40"/>
      </w:pPr>
      <w:r>
        <w:t>Retain Random Forest, XGBoost and Logistic Regression as benchmark models for demonstrating modeling, probability diagnostics and explainability - not as evidence of future risk prediction.</w:t>
      </w:r>
    </w:p>
    <w:p>
      <w:pPr>
        <w:pStyle w:val="ListNumber"/>
        <w:spacing w:after="40"/>
      </w:pPr>
      <w:r>
        <w:t>Use sensor and network telemetry for descriptive operational monitoring unless a future dataset demonstrates independent predictive value.</w:t>
      </w:r>
    </w:p>
    <w:p>
      <w:pPr>
        <w:pStyle w:val="ListNumber"/>
        <w:spacing w:after="40"/>
      </w:pPr>
      <w:r>
        <w:t>Before any real manufacturing deployment, obtain live plant data with clear label provenance, fixed sampling intervals, independently defined outcomes and an explicit prediction horizon.</w:t>
      </w:r>
    </w:p>
    <w:p>
      <w:pPr>
        <w:pStyle w:val="ListNumber"/>
        <w:spacing w:after="40"/>
      </w:pPr>
      <w:r>
        <w:t>Re-run target audits, feature ablation, temporal validation and calibration checks whenever the labeling policy or data-generation process changes.</w:t>
      </w:r>
    </w:p>
    <w:p>
      <w:pPr>
        <w:pStyle w:val="Heading1"/>
      </w:pPr>
      <w:r>
        <w:t>Conclusion</w:t>
      </w:r>
    </w:p>
    <w:p>
      <w:r>
        <w:t>The most important outcome of this project is analytical validation rather than the 100% Random Forest score. The post-evaluation rebuild explains why the score occurs, separates current-state rule reconstruction from genuine prediction, and converts the original dashboard into a more defensible portfolio case study. The result demonstrates an end-to-end Data Analyst workflow: data quality, EDA, feature engineering, baseline design, model benchmarking, imbalance-aware evaluation, temporal validation, ablation, explainability, dashboarding and automated testing.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</w:rPr>
              <w:t xml:space="preserve">Project status: </w:t>
            </w:r>
            <w:r>
              <w:t>Original Unified Mentor evaluation: 8/10 - Excellent. The current documents describe the later post-evaluation remediation and should be read as the validated portfolio version.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666666"/>
        <w:sz w:val="14"/>
      </w:rPr>
      <w:t>Thales Group business scenario · Portfolio case study · Post-evaluation validated version</w:t>
    </w:r>
  </w:p>
  <w:p>
    <w:pPr>
      <w:jc w:val="center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5"/>
      </w:rPr>
      <w:t>UNIFIED MENTOR · DATA ANALYST INTERNSHIP · MANUFACTURING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B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after="140"/>
    </w:pPr>
    <w:rPr>
      <w:rFonts w:ascii="Aptos" w:hAnsi="Aptos"/>
      <w:i/>
      <w:color w:val="666666"/>
      <w:sz w:val="16"/>
    </w:rPr>
  </w:style>
  <w:style w:type="paragraph" w:customStyle="1" w:styleId="SmallText">
    <w:name w:val="Small Text"/>
    <w:pPr>
      <w:spacing w:after="60"/>
    </w:pPr>
    <w:rPr>
      <w:rFonts w:ascii="Aptos" w:hAnsi="Aptos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AI-Based Manufacturing Efficiency Classification - Executive Summary</dc:title>
  <dc:subject>Unified Mentor Data Analyst Internship - Manufacturing Category</dc:subject>
  <dc:creator>Mimoh Naik</dc:creator>
  <cp:keywords>Unified Mentor, Manufacturing, Data Analyst, Model Validation, Streamlit, Thales business scenario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