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Marcus Adeyemi, Head of Support</w:t>
            </w:r>
          </w:p>
        </w:tc>
        <w:tc>
          <w:tcPr>
            <w:tcW w:type="dxa" w:w="2592"/>
            <w:tcBorders>
              <w:top w:val="single" w:sz="6" w:color="D9D9E0"/>
              <w:left w:val="single" w:sz="6" w:color="D9D9E0"/>
              <w:bottom w:val="single" w:sz="6" w:color="D9D9E0"/>
              <w:right w:val="single" w:sz="6" w:color="D9D9E0"/>
            </w:tcBorders>
          </w:tcPr>
          <w:p>
            <w:r>
              <w:t>Ticket volume is crushing the team; MTTR is high; commissioned automation to lower costs and speed up response times.</w:t>
            </w:r>
          </w:p>
        </w:tc>
        <w:tc>
          <w:tcPr>
            <w:tcW w:type="dxa" w:w="2448"/>
            <w:tcBorders>
              <w:top w:val="single" w:sz="6" w:color="D9D9E0"/>
              <w:left w:val="single" w:sz="6" w:color="D9D9E0"/>
              <w:bottom w:val="single" w:sz="6" w:color="D9D9E0"/>
              <w:right w:val="single" w:sz="6" w:color="D9D9E0"/>
            </w:tcBorders>
          </w:tcPr>
          <w:p>
            <w:r>
              <w:t>Internal doc search fails due to keyword mismatch; agents reconstruct answers from memory using outdated personal files.</w:t>
            </w:r>
          </w:p>
        </w:tc>
        <w:tc>
          <w:tcPr>
            <w:tcW w:type="dxa" w:w="2448"/>
            <w:tcBorders>
              <w:top w:val="single" w:sz="6" w:color="D9D9E0"/>
              <w:left w:val="single" w:sz="6" w:color="D9D9E0"/>
              <w:bottom w:val="single" w:sz="6" w:color="D9D9E0"/>
              <w:right w:val="single" w:sz="6" w:color="D9D9E0"/>
            </w:tcBorders>
          </w:tcPr>
          <w:p>
            <w:r>
              <w:t>Actual proportion of tickets answerable by documentation (71.4%) vs first contact resolution (43.8%).</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r>
              <w:t>Spends most time searching for documentation; customers use vague or non-standard terms (e.g. deployment dying vs container health check failures). Uses personal cheat sheets.</w:t>
            </w:r>
          </w:p>
        </w:tc>
        <w:tc>
          <w:tcPr>
            <w:tcW w:type="dxa" w:w="2448"/>
            <w:tcBorders>
              <w:top w:val="single" w:sz="6" w:color="D9D9E0"/>
              <w:left w:val="single" w:sz="6" w:color="D9D9E0"/>
              <w:bottom w:val="single" w:sz="6" w:color="D9D9E0"/>
              <w:right w:val="single" w:sz="6" w:color="D9D9E0"/>
            </w:tcBorders>
            <w:shd w:val="clear" w:fill="F4F4F7"/>
          </w:tcPr>
          <w:p>
            <w:r>
              <w:t>Personal cheat sheets contain stale or inaccurate policy details; official KB articles are updated regularly by Ines.</w:t>
            </w:r>
          </w:p>
        </w:tc>
        <w:tc>
          <w:tcPr>
            <w:tcW w:type="dxa" w:w="2448"/>
            <w:tcBorders>
              <w:top w:val="single" w:sz="6" w:color="D9D9E0"/>
              <w:left w:val="single" w:sz="6" w:color="D9D9E0"/>
              <w:bottom w:val="single" w:sz="6" w:color="D9D9E0"/>
              <w:right w:val="single" w:sz="6" w:color="D9D9E0"/>
            </w:tcBorders>
            <w:shd w:val="clear" w:fill="F4F4F7"/>
          </w:tcPr>
          <w:p>
            <w:r>
              <w:t>Distribution of ticket channels (Email 42.4%, Chat 31.0%, Docs 15.6%) and language fluency impact (24% non-fluent).</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Daniel Okonkwo, Tier Two Engineer</w:t>
            </w:r>
          </w:p>
        </w:tc>
        <w:tc>
          <w:tcPr>
            <w:tcW w:type="dxa" w:w="2592"/>
            <w:tcBorders>
              <w:top w:val="single" w:sz="6" w:color="D9D9E0"/>
              <w:left w:val="single" w:sz="6" w:color="D9D9E0"/>
              <w:bottom w:val="single" w:sz="6" w:color="D9D9E0"/>
              <w:right w:val="single" w:sz="6" w:color="D9D9E0"/>
            </w:tcBorders>
          </w:tcPr>
          <w:p>
            <w:r>
              <w:t>Escalations arrive with zero context or summary, forcing re-reading threads and re-asking customers previously asked questions.</w:t>
            </w:r>
          </w:p>
        </w:tc>
        <w:tc>
          <w:tcPr>
            <w:tcW w:type="dxa" w:w="2448"/>
            <w:tcBorders>
              <w:top w:val="single" w:sz="6" w:color="D9D9E0"/>
              <w:left w:val="single" w:sz="6" w:color="D9D9E0"/>
              <w:bottom w:val="single" w:sz="6" w:color="D9D9E0"/>
              <w:right w:val="single" w:sz="6" w:color="D9D9E0"/>
            </w:tcBorders>
          </w:tcPr>
          <w:p>
            <w:r>
              <w:t>Tier 1 agents lack structured tools to capture context; escalations need structured diagnostic packages.</w:t>
            </w:r>
          </w:p>
        </w:tc>
        <w:tc>
          <w:tcPr>
            <w:tcW w:type="dxa" w:w="2448"/>
            <w:tcBorders>
              <w:top w:val="single" w:sz="6" w:color="D9D9E0"/>
              <w:left w:val="single" w:sz="6" w:color="D9D9E0"/>
              <w:bottom w:val="single" w:sz="6" w:color="D9D9E0"/>
              <w:right w:val="single" w:sz="6" w:color="D9D9E0"/>
            </w:tcBorders>
          </w:tcPr>
          <w:p>
            <w:r>
              <w:t>Escalation rates across customer tiers (Standard 56.9%, Business 51.8%, Enterprise 62.6%) and high-risk categories.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r>
              <w:t>29 KB articles cover recurring topics, but agents use unreviewed personal snippet files because keyword search fails.</w:t>
            </w:r>
          </w:p>
        </w:tc>
        <w:tc>
          <w:tcPr>
            <w:tcW w:type="dxa" w:w="2448"/>
            <w:tcBorders>
              <w:top w:val="single" w:sz="6" w:color="D9D9E0"/>
              <w:left w:val="single" w:sz="6" w:color="D9D9E0"/>
              <w:bottom w:val="single" w:sz="6" w:color="D9D9E0"/>
              <w:right w:val="single" w:sz="6" w:color="D9D9E0"/>
            </w:tcBorders>
            <w:shd w:val="clear" w:fill="F4F4F7"/>
          </w:tcPr>
          <w:p>
            <w:r>
              <w:t>Customers search by problem symptoms rather than exact technical article titles.</w:t>
            </w:r>
          </w:p>
        </w:tc>
        <w:tc>
          <w:tcPr>
            <w:tcW w:type="dxa" w:w="2448"/>
            <w:tcBorders>
              <w:top w:val="single" w:sz="6" w:color="D9D9E0"/>
              <w:left w:val="single" w:sz="6" w:color="D9D9E0"/>
              <w:bottom w:val="single" w:sz="6" w:color="D9D9E0"/>
              <w:right w:val="single" w:sz="6" w:color="D9D9E0"/>
            </w:tcBorders>
            <w:shd w:val="clear" w:fill="F4F4F7"/>
          </w:tcPr>
          <w:p>
            <w:r>
              <w:t>Coverage of documentation against actual intent categories (71.4% answerability).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Ravi Menon, Customer</w:t>
            </w:r>
          </w:p>
        </w:tc>
        <w:tc>
          <w:tcPr>
            <w:tcW w:type="dxa" w:w="2592"/>
            <w:tcBorders>
              <w:top w:val="single" w:sz="6" w:color="D9D9E0"/>
              <w:left w:val="single" w:sz="6" w:color="D9D9E0"/>
              <w:bottom w:val="single" w:sz="6" w:color="D9D9E0"/>
              <w:right w:val="single" w:sz="6" w:color="D9D9E0"/>
            </w:tcBorders>
          </w:tcPr>
          <w:p>
            <w:r>
              <w:t>Waiting for response is painful (hours lost). Fine with automated response if honest, machine-labeled, and cites sources.</w:t>
            </w:r>
          </w:p>
        </w:tc>
        <w:tc>
          <w:tcPr>
            <w:tcW w:type="dxa" w:w="2448"/>
            <w:tcBorders>
              <w:top w:val="single" w:sz="6" w:color="D9D9E0"/>
              <w:left w:val="single" w:sz="6" w:color="D9D9E0"/>
              <w:bottom w:val="single" w:sz="6" w:color="D9D9E0"/>
              <w:right w:val="single" w:sz="6" w:color="D9D9E0"/>
            </w:tcBorders>
          </w:tcPr>
          <w:p>
            <w:r>
              <w:t>Tier-based SLA disparities (Enterprise gets 1hr vs Business/Standard waiting much longer).</w:t>
            </w:r>
          </w:p>
        </w:tc>
        <w:tc>
          <w:tcPr>
            <w:tcW w:type="dxa" w:w="2448"/>
            <w:tcBorders>
              <w:top w:val="single" w:sz="6" w:color="D9D9E0"/>
              <w:left w:val="single" w:sz="6" w:color="D9D9E0"/>
              <w:bottom w:val="single" w:sz="6" w:color="D9D9E0"/>
              <w:right w:val="single" w:sz="6" w:color="D9D9E0"/>
            </w:tcBorders>
          </w:tcPr>
          <w:p>
            <w:r>
              <w:t>CSAT by tier (overall 2.97) and repeat contact rate (21.6%).</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r>
              <w:t>Documentation Completeness vs Accessibility</w:t>
            </w:r>
          </w:p>
        </w:tc>
        <w:tc>
          <w:tcPr>
            <w:tcW w:type="dxa" w:w="2448"/>
            <w:tcBorders>
              <w:top w:val="single" w:sz="6" w:color="D9D9E0"/>
              <w:left w:val="single" w:sz="6" w:color="D9D9E0"/>
              <w:bottom w:val="single" w:sz="6" w:color="D9D9E0"/>
              <w:right w:val="single" w:sz="6" w:color="D9D9E0"/>
            </w:tcBorders>
          </w:tcPr>
          <w:p>
            <w:r>
              <w:t>Marcus thinks KB lacks answers; Ines claims 29 articles cover nearly all recurring tickets.</w:t>
            </w:r>
          </w:p>
        </w:tc>
        <w:tc>
          <w:tcPr>
            <w:tcW w:type="dxa" w:w="2448"/>
            <w:tcBorders>
              <w:top w:val="single" w:sz="6" w:color="D9D9E0"/>
              <w:left w:val="single" w:sz="6" w:color="D9D9E0"/>
              <w:bottom w:val="single" w:sz="6" w:color="D9D9E0"/>
              <w:right w:val="single" w:sz="6" w:color="D9D9E0"/>
            </w:tcBorders>
          </w:tcPr>
          <w:p>
            <w:r>
              <w:t>Data shows 357 of 500 tickets (71.4%) are answerable from existing docs. Ines is right on coverage; search is the bottleneck.</w:t>
            </w:r>
          </w:p>
        </w:tc>
        <w:tc>
          <w:tcPr>
            <w:tcW w:type="dxa" w:w="2448"/>
            <w:tcBorders>
              <w:top w:val="single" w:sz="6" w:color="D9D9E0"/>
              <w:left w:val="single" w:sz="6" w:color="D9D9E0"/>
              <w:bottom w:val="single" w:sz="6" w:color="D9D9E0"/>
              <w:right w:val="single" w:sz="6" w:color="D9D9E0"/>
            </w:tcBorders>
          </w:tcPr>
          <w:p>
            <w:r>
              <w:t>Solution requires semantic vector search to bridge vocabulary gap, not drafting new articles.</w:t>
            </w:r>
          </w:p>
        </w:tc>
      </w:tr>
      <w:tr>
        <w:tc>
          <w:tcPr>
            <w:tcW w:type="dxa" w:w="2304"/>
            <w:tcBorders>
              <w:top w:val="single" w:sz="6" w:color="D9D9E0"/>
              <w:left w:val="single" w:sz="6" w:color="D9D9E0"/>
              <w:bottom w:val="single" w:sz="6" w:color="D9D9E0"/>
              <w:right w:val="single" w:sz="6" w:color="D9D9E0"/>
            </w:tcBorders>
            <w:shd w:val="clear" w:fill="F4F4F7"/>
          </w:tcPr>
          <w:p>
            <w:r>
              <w:t>Impact of Language Fluency</w:t>
            </w:r>
          </w:p>
        </w:tc>
        <w:tc>
          <w:tcPr>
            <w:tcW w:type="dxa" w:w="2448"/>
            <w:tcBorders>
              <w:top w:val="single" w:sz="6" w:color="D9D9E0"/>
              <w:left w:val="single" w:sz="6" w:color="D9D9E0"/>
              <w:bottom w:val="single" w:sz="6" w:color="D9D9E0"/>
              <w:right w:val="single" w:sz="6" w:color="D9D9E0"/>
            </w:tcBorders>
            <w:shd w:val="clear" w:fill="F4F4F7"/>
          </w:tcPr>
          <w:p>
            <w:r>
              <w:t>Sofia claims non-fluent tickets take significantly longer and fail more often.</w:t>
            </w:r>
          </w:p>
        </w:tc>
        <w:tc>
          <w:tcPr>
            <w:tcW w:type="dxa" w:w="2448"/>
            <w:tcBorders>
              <w:top w:val="single" w:sz="6" w:color="D9D9E0"/>
              <w:left w:val="single" w:sz="6" w:color="D9D9E0"/>
              <w:bottom w:val="single" w:sz="6" w:color="D9D9E0"/>
              <w:right w:val="single" w:sz="6" w:color="D9D9E0"/>
            </w:tcBorders>
            <w:shd w:val="clear" w:fill="F4F4F7"/>
          </w:tcPr>
          <w:p>
            <w:r>
              <w:t>Data shows non-fluent users (24% of volume) have 45.8% FCR and 3.04 CSAT (higher than 2.97 average).</w:t>
            </w:r>
          </w:p>
        </w:tc>
        <w:tc>
          <w:tcPr>
            <w:tcW w:type="dxa" w:w="2448"/>
            <w:tcBorders>
              <w:top w:val="single" w:sz="6" w:color="D9D9E0"/>
              <w:left w:val="single" w:sz="6" w:color="D9D9E0"/>
              <w:bottom w:val="single" w:sz="6" w:color="D9D9E0"/>
              <w:right w:val="single" w:sz="6" w:color="D9D9E0"/>
            </w:tcBorders>
            <w:shd w:val="clear" w:fill="F4F4F7"/>
          </w:tcPr>
          <w:p>
            <w:r>
              <w:t>Semantic retrieval handles non-fluent phrasing effectively without special manual routing.</w:t>
            </w:r>
          </w:p>
        </w:tc>
      </w:tr>
      <w:tr>
        <w:tc>
          <w:tcPr>
            <w:tcW w:type="dxa" w:w="2304"/>
            <w:tcBorders>
              <w:top w:val="single" w:sz="6" w:color="D9D9E0"/>
              <w:left w:val="single" w:sz="6" w:color="D9D9E0"/>
              <w:bottom w:val="single" w:sz="6" w:color="D9D9E0"/>
              <w:right w:val="single" w:sz="6" w:color="D9D9E0"/>
            </w:tcBorders>
          </w:tcPr>
          <w:p>
            <w:r>
              <w:t>Drivers of Ticket Escalations</w:t>
            </w:r>
          </w:p>
        </w:tc>
        <w:tc>
          <w:tcPr>
            <w:tcW w:type="dxa" w:w="2448"/>
            <w:tcBorders>
              <w:top w:val="single" w:sz="6" w:color="D9D9E0"/>
              <w:left w:val="single" w:sz="6" w:color="D9D9E0"/>
              <w:bottom w:val="single" w:sz="6" w:color="D9D9E0"/>
              <w:right w:val="single" w:sz="6" w:color="D9D9E0"/>
            </w:tcBorders>
          </w:tcPr>
          <w:p>
            <w:r>
              <w:t>Daniel assumes escalations are complex technical bugs.</w:t>
            </w:r>
          </w:p>
        </w:tc>
        <w:tc>
          <w:tcPr>
            <w:tcW w:type="dxa" w:w="2448"/>
            <w:tcBorders>
              <w:top w:val="single" w:sz="6" w:color="D9D9E0"/>
              <w:left w:val="single" w:sz="6" w:color="D9D9E0"/>
              <w:bottom w:val="single" w:sz="6" w:color="D9D9E0"/>
              <w:right w:val="single" w:sz="6" w:color="D9D9E0"/>
            </w:tcBorders>
          </w:tcPr>
          <w:p>
            <w:r>
              <w:t>Data shows 100% of security, compliance, and billing tickets are escalated due to policy boundaries.</w:t>
            </w:r>
          </w:p>
        </w:tc>
        <w:tc>
          <w:tcPr>
            <w:tcW w:type="dxa" w:w="2448"/>
            <w:tcBorders>
              <w:top w:val="single" w:sz="6" w:color="D9D9E0"/>
              <w:left w:val="single" w:sz="6" w:color="D9D9E0"/>
              <w:bottom w:val="single" w:sz="6" w:color="D9D9E0"/>
              <w:right w:val="single" w:sz="6" w:color="D9D9E0"/>
            </w:tcBorders>
          </w:tcPr>
          <w:p>
            <w:r>
              <w:t>Routing logic must enforce mandatory escalation guardrails for high-risk categories.</w:t>
            </w:r>
          </w:p>
        </w:tc>
      </w:tr>
      <w:tr>
        <w:tc>
          <w:tcPr>
            <w:tcW w:type="dxa" w:w="2304"/>
            <w:tcBorders>
              <w:top w:val="single" w:sz="6" w:color="D9D9E0"/>
              <w:left w:val="single" w:sz="6" w:color="D9D9E0"/>
              <w:bottom w:val="single" w:sz="6" w:color="D9D9E0"/>
              <w:right w:val="single" w:sz="6" w:color="D9D9E0"/>
            </w:tcBorders>
            <w:shd w:val="clear" w:fill="F4F4F7"/>
          </w:tcPr>
          <w:p>
            <w:r>
              <w:t>Customer Acceptability of Automated Support</w:t>
            </w:r>
          </w:p>
        </w:tc>
        <w:tc>
          <w:tcPr>
            <w:tcW w:type="dxa" w:w="2448"/>
            <w:tcBorders>
              <w:top w:val="single" w:sz="6" w:color="D9D9E0"/>
              <w:left w:val="single" w:sz="6" w:color="D9D9E0"/>
              <w:bottom w:val="single" w:sz="6" w:color="D9D9E0"/>
              <w:right w:val="single" w:sz="6" w:color="D9D9E0"/>
            </w:tcBorders>
            <w:shd w:val="clear" w:fill="F4F4F7"/>
          </w:tcPr>
          <w:p>
            <w:r>
              <w:t>Marcus fears automated responses will frustrate customers.</w:t>
            </w:r>
          </w:p>
        </w:tc>
        <w:tc>
          <w:tcPr>
            <w:tcW w:type="dxa" w:w="2448"/>
            <w:tcBorders>
              <w:top w:val="single" w:sz="6" w:color="D9D9E0"/>
              <w:left w:val="single" w:sz="6" w:color="D9D9E0"/>
              <w:bottom w:val="single" w:sz="6" w:color="D9D9E0"/>
              <w:right w:val="single" w:sz="6" w:color="D9D9E0"/>
            </w:tcBorders>
            <w:shd w:val="clear" w:fill="F4F4F7"/>
          </w:tcPr>
          <w:p>
            <w:r>
              <w:t>Ravi confirms automation is welcome if machine-labeled, fast, and grounded in cited sources.</w:t>
            </w:r>
          </w:p>
        </w:tc>
        <w:tc>
          <w:tcPr>
            <w:tcW w:type="dxa" w:w="2448"/>
            <w:tcBorders>
              <w:top w:val="single" w:sz="6" w:color="D9D9E0"/>
              <w:left w:val="single" w:sz="6" w:color="D9D9E0"/>
              <w:bottom w:val="single" w:sz="6" w:color="D9D9E0"/>
              <w:right w:val="single" w:sz="6" w:color="D9D9E0"/>
            </w:tcBorders>
            <w:shd w:val="clear" w:fill="F4F4F7"/>
          </w:tcPr>
          <w:p>
            <w:r>
              <w:t>System must explicitly identify auto-responses and include source links/citations.</w:t>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r>
              <w:t>SLA Tier Differentiation</w:t>
            </w:r>
          </w:p>
        </w:tc>
        <w:tc>
          <w:tcPr>
            <w:tcW w:type="dxa" w:w="3312"/>
            <w:tcBorders>
              <w:top w:val="single" w:sz="6" w:color="D9D9E0"/>
              <w:left w:val="single" w:sz="6" w:color="D9D9E0"/>
              <w:bottom w:val="single" w:sz="6" w:color="D9D9E0"/>
              <w:right w:val="single" w:sz="6" w:color="D9D9E0"/>
            </w:tcBorders>
          </w:tcPr>
          <w:p>
            <w:r>
              <w:t>Enterprise vs Standard expectations differ sharply.</w:t>
            </w:r>
          </w:p>
        </w:tc>
        <w:tc>
          <w:tcPr>
            <w:tcW w:type="dxa" w:w="3168"/>
            <w:tcBorders>
              <w:top w:val="single" w:sz="6" w:color="D9D9E0"/>
              <w:left w:val="single" w:sz="6" w:color="D9D9E0"/>
              <w:bottom w:val="single" w:sz="6" w:color="D9D9E0"/>
              <w:right w:val="single" w:sz="6" w:color="D9D9E0"/>
            </w:tcBorders>
          </w:tcPr>
          <w:p>
            <w:r>
              <w:t>Evaluate customer_tier field in ticket metadata and tier escalation breakdown.</w:t>
            </w:r>
          </w:p>
        </w:tc>
      </w:tr>
      <w:tr>
        <w:tc>
          <w:tcPr>
            <w:tcW w:type="dxa" w:w="3168"/>
            <w:tcBorders>
              <w:top w:val="single" w:sz="6" w:color="D9D9E0"/>
              <w:left w:val="single" w:sz="6" w:color="D9D9E0"/>
              <w:bottom w:val="single" w:sz="6" w:color="D9D9E0"/>
              <w:right w:val="single" w:sz="6" w:color="D9D9E0"/>
            </w:tcBorders>
            <w:shd w:val="clear" w:fill="F4F4F7"/>
          </w:tcPr>
          <w:p>
            <w:r>
              <w:t>Adversarial Input / Prompt Injection</w:t>
            </w:r>
          </w:p>
        </w:tc>
        <w:tc>
          <w:tcPr>
            <w:tcW w:type="dxa" w:w="3312"/>
            <w:tcBorders>
              <w:top w:val="single" w:sz="6" w:color="D9D9E0"/>
              <w:left w:val="single" w:sz="6" w:color="D9D9E0"/>
              <w:bottom w:val="single" w:sz="6" w:color="D9D9E0"/>
              <w:right w:val="single" w:sz="6" w:color="D9D9E0"/>
            </w:tcBorders>
            <w:shd w:val="clear" w:fill="F4F4F7"/>
          </w:tcPr>
          <w:p>
            <w:r>
              <w:t>Security boundary for public-facing AI system.</w:t>
            </w:r>
          </w:p>
        </w:tc>
        <w:tc>
          <w:tcPr>
            <w:tcW w:type="dxa" w:w="3168"/>
            <w:tcBorders>
              <w:top w:val="single" w:sz="6" w:color="D9D9E0"/>
              <w:left w:val="single" w:sz="6" w:color="D9D9E0"/>
              <w:bottom w:val="single" w:sz="6" w:color="D9D9E0"/>
              <w:right w:val="single" w:sz="6" w:color="D9D9E0"/>
            </w:tcBorders>
            <w:shd w:val="clear" w:fill="F4F4F7"/>
          </w:tcPr>
          <w:p>
            <w:r>
              <w:t>Test validation tickets with prompt injection patterns in guardrail suite.</w:t>
            </w:r>
          </w:p>
        </w:tc>
      </w:tr>
      <w:tr>
        <w:tc>
          <w:tcPr>
            <w:tcW w:type="dxa" w:w="3168"/>
            <w:tcBorders>
              <w:top w:val="single" w:sz="6" w:color="D9D9E0"/>
              <w:left w:val="single" w:sz="6" w:color="D9D9E0"/>
              <w:bottom w:val="single" w:sz="6" w:color="D9D9E0"/>
              <w:right w:val="single" w:sz="6" w:color="D9D9E0"/>
            </w:tcBorders>
          </w:tcPr>
          <w:p>
            <w:r>
              <w:t>Stale KB Article Lifecycle</w:t>
            </w:r>
          </w:p>
        </w:tc>
        <w:tc>
          <w:tcPr>
            <w:tcW w:type="dxa" w:w="3312"/>
            <w:tcBorders>
              <w:top w:val="single" w:sz="6" w:color="D9D9E0"/>
              <w:left w:val="single" w:sz="6" w:color="D9D9E0"/>
              <w:bottom w:val="single" w:sz="6" w:color="D9D9E0"/>
              <w:right w:val="single" w:sz="6" w:color="D9D9E0"/>
            </w:tcBorders>
          </w:tcPr>
          <w:p>
            <w:r>
              <w:t>Ines reviews on rotation, but no automated sync exists.</w:t>
            </w:r>
          </w:p>
        </w:tc>
        <w:tc>
          <w:tcPr>
            <w:tcW w:type="dxa" w:w="3168"/>
            <w:tcBorders>
              <w:top w:val="single" w:sz="6" w:color="D9D9E0"/>
              <w:left w:val="single" w:sz="6" w:color="D9D9E0"/>
              <w:bottom w:val="single" w:sz="6" w:color="D9D9E0"/>
              <w:right w:val="single" w:sz="6" w:color="D9D9E0"/>
            </w:tcBorders>
          </w:tcPr>
          <w:p>
            <w:r>
              <w:t>Track doc revision dates against retrieval scores in pipeline.</w:t>
            </w:r>
          </w:p>
        </w:tc>
      </w:tr>
      <w:tr>
        <w:tc>
          <w:tcPr>
            <w:tcW w:type="dxa" w:w="3168"/>
            <w:tcBorders>
              <w:top w:val="single" w:sz="6" w:color="D9D9E0"/>
              <w:left w:val="single" w:sz="6" w:color="D9D9E0"/>
              <w:bottom w:val="single" w:sz="6" w:color="D9D9E0"/>
              <w:right w:val="single" w:sz="6" w:color="D9D9E0"/>
            </w:tcBorders>
            <w:shd w:val="clear" w:fill="F4F4F7"/>
          </w:tcPr>
          <w:p>
            <w:r>
              <w:t>Formal Evaluation Harness</w:t>
            </w:r>
          </w:p>
        </w:tc>
        <w:tc>
          <w:tcPr>
            <w:tcW w:type="dxa" w:w="3312"/>
            <w:tcBorders>
              <w:top w:val="single" w:sz="6" w:color="D9D9E0"/>
              <w:left w:val="single" w:sz="6" w:color="D9D9E0"/>
              <w:bottom w:val="single" w:sz="6" w:color="D9D9E0"/>
              <w:right w:val="single" w:sz="6" w:color="D9D9E0"/>
            </w:tcBorders>
            <w:shd w:val="clear" w:fill="F4F4F7"/>
          </w:tcPr>
          <w:p>
            <w:r>
              <w:t>No quantitative benchmark existed at CloudServe.</w:t>
            </w:r>
          </w:p>
        </w:tc>
        <w:tc>
          <w:tcPr>
            <w:tcW w:type="dxa" w:w="3168"/>
            <w:tcBorders>
              <w:top w:val="single" w:sz="6" w:color="D9D9E0"/>
              <w:left w:val="single" w:sz="6" w:color="D9D9E0"/>
              <w:bottom w:val="single" w:sz="6" w:color="D9D9E0"/>
              <w:right w:val="single" w:sz="6" w:color="D9D9E0"/>
            </w:tcBorders>
            <w:shd w:val="clear" w:fill="F4F4F7"/>
          </w:tcPr>
          <w:p>
            <w:r>
              <w:t>Build evaluation harness against 500 dev and 120 val tickets.</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Total tickets in the sample</w:t>
            </w:r>
          </w:p>
        </w:tc>
        <w:tc>
          <w:tcPr>
            <w:tcW w:type="dxa" w:w="1440"/>
            <w:tcBorders>
              <w:top w:val="single" w:sz="6" w:color="D9D9E0"/>
              <w:left w:val="single" w:sz="6" w:color="D9D9E0"/>
              <w:bottom w:val="single" w:sz="6" w:color="D9D9E0"/>
              <w:right w:val="single" w:sz="6" w:color="D9D9E0"/>
            </w:tcBorders>
          </w:tcPr>
          <w:p>
            <w:r>
              <w:t>500 tickets</w:t>
            </w:r>
          </w:p>
        </w:tc>
        <w:tc>
          <w:tcPr>
            <w:tcW w:type="dxa" w:w="2592"/>
            <w:tcBorders>
              <w:top w:val="single" w:sz="6" w:color="D9D9E0"/>
              <w:left w:val="single" w:sz="6" w:color="D9D9E0"/>
              <w:bottom w:val="single" w:sz="6" w:color="D9D9E0"/>
              <w:right w:val="single" w:sz="6" w:color="D9D9E0"/>
            </w:tcBorders>
          </w:tcPr>
          <w:p>
            <w:r>
              <w:t>data/raw/development_tickets.json</w:t>
            </w:r>
          </w:p>
        </w:tc>
        <w:tc>
          <w:tcPr>
            <w:tcW w:type="dxa" w:w="2736"/>
            <w:tcBorders>
              <w:top w:val="single" w:sz="6" w:color="D9D9E0"/>
              <w:left w:val="single" w:sz="6" w:color="D9D9E0"/>
              <w:bottom w:val="single" w:sz="6" w:color="D9D9E0"/>
              <w:right w:val="single" w:sz="6" w:color="D9D9E0"/>
            </w:tcBorders>
          </w:tcPr>
          <w:p>
            <w:r>
              <w:t>Sample size is sufficient for statistical validation.</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channel</w:t>
            </w:r>
          </w:p>
        </w:tc>
        <w:tc>
          <w:tcPr>
            <w:tcW w:type="dxa" w:w="1440"/>
            <w:tcBorders>
              <w:top w:val="single" w:sz="6" w:color="D9D9E0"/>
              <w:left w:val="single" w:sz="6" w:color="D9D9E0"/>
              <w:bottom w:val="single" w:sz="6" w:color="D9D9E0"/>
              <w:right w:val="single" w:sz="6" w:color="D9D9E0"/>
            </w:tcBorders>
            <w:shd w:val="clear" w:fill="F4F4F7"/>
          </w:tcPr>
          <w:p>
            <w:r>
              <w:t>Email: 212 (42.4%), Chat: 155 (31.0%), Docs: 78 (15.6%), Forum: 55 (11.0%)</w:t>
            </w:r>
          </w:p>
        </w:tc>
        <w:tc>
          <w:tcPr>
            <w:tcW w:type="dxa" w:w="2592"/>
            <w:tcBorders>
              <w:top w:val="single" w:sz="6" w:color="D9D9E0"/>
              <w:left w:val="single" w:sz="6" w:color="D9D9E0"/>
              <w:bottom w:val="single" w:sz="6" w:color="D9D9E0"/>
              <w:right w:val="single" w:sz="6" w:color="D9D9E0"/>
            </w:tcBorders>
            <w:shd w:val="clear" w:fill="F4F4F7"/>
          </w:tcPr>
          <w:p>
            <w:r>
              <w:t>development_tickets.json metadata</w:t>
            </w:r>
          </w:p>
        </w:tc>
        <w:tc>
          <w:tcPr>
            <w:tcW w:type="dxa" w:w="2736"/>
            <w:tcBorders>
              <w:top w:val="single" w:sz="6" w:color="D9D9E0"/>
              <w:left w:val="single" w:sz="6" w:color="D9D9E0"/>
              <w:bottom w:val="single" w:sz="6" w:color="D9D9E0"/>
              <w:right w:val="single" w:sz="6" w:color="D9D9E0"/>
            </w:tcBorders>
            <w:shd w:val="clear" w:fill="F4F4F7"/>
          </w:tcPr>
          <w:p>
            <w:r>
              <w:t>Email and Chat represent 73.4% of all volume.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Split by intent category</w:t>
            </w:r>
          </w:p>
        </w:tc>
        <w:tc>
          <w:tcPr>
            <w:tcW w:type="dxa" w:w="1440"/>
            <w:tcBorders>
              <w:top w:val="single" w:sz="6" w:color="D9D9E0"/>
              <w:left w:val="single" w:sz="6" w:color="D9D9E0"/>
              <w:bottom w:val="single" w:sz="6" w:color="D9D9E0"/>
              <w:right w:val="single" w:sz="6" w:color="D9D9E0"/>
            </w:tcBorders>
          </w:tcPr>
          <w:p>
            <w:r>
              <w:t>22 intents (Data Export 29, Rollback 28, Deployment Fail 27, Security 26, SSO 26, etc.)</w:t>
            </w:r>
          </w:p>
        </w:tc>
        <w:tc>
          <w:tcPr>
            <w:tcW w:type="dxa" w:w="2592"/>
            <w:tcBorders>
              <w:top w:val="single" w:sz="6" w:color="D9D9E0"/>
              <w:left w:val="single" w:sz="6" w:color="D9D9E0"/>
              <w:bottom w:val="single" w:sz="6" w:color="D9D9E0"/>
              <w:right w:val="single" w:sz="6" w:color="D9D9E0"/>
            </w:tcBorders>
          </w:tcPr>
          <w:p>
            <w:r>
              <w:t>labels.intent field analysis</w:t>
            </w:r>
          </w:p>
        </w:tc>
        <w:tc>
          <w:tcPr>
            <w:tcW w:type="dxa" w:w="2736"/>
            <w:tcBorders>
              <w:top w:val="single" w:sz="6" w:color="D9D9E0"/>
              <w:left w:val="single" w:sz="6" w:color="D9D9E0"/>
              <w:bottom w:val="single" w:sz="6" w:color="D9D9E0"/>
              <w:right w:val="single" w:sz="6" w:color="D9D9E0"/>
            </w:tcBorders>
          </w:tcPr>
          <w:p>
            <w:r>
              <w:t>Volume is evenly distributed across intent categories.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Split by urgency</w:t>
            </w:r>
          </w:p>
        </w:tc>
        <w:tc>
          <w:tcPr>
            <w:tcW w:type="dxa" w:w="1440"/>
            <w:tcBorders>
              <w:top w:val="single" w:sz="6" w:color="D9D9E0"/>
              <w:left w:val="single" w:sz="6" w:color="D9D9E0"/>
              <w:bottom w:val="single" w:sz="6" w:color="D9D9E0"/>
              <w:right w:val="single" w:sz="6" w:color="D9D9E0"/>
            </w:tcBorders>
            <w:shd w:val="clear" w:fill="F4F4F7"/>
          </w:tcPr>
          <w:p>
            <w:r>
              <w:t>Medium: 226 (45.2%), High: 146 (29.2%), Low: 128 (25.6%)</w:t>
            </w:r>
          </w:p>
        </w:tc>
        <w:tc>
          <w:tcPr>
            <w:tcW w:type="dxa" w:w="2592"/>
            <w:tcBorders>
              <w:top w:val="single" w:sz="6" w:color="D9D9E0"/>
              <w:left w:val="single" w:sz="6" w:color="D9D9E0"/>
              <w:bottom w:val="single" w:sz="6" w:color="D9D9E0"/>
              <w:right w:val="single" w:sz="6" w:color="D9D9E0"/>
            </w:tcBorders>
            <w:shd w:val="clear" w:fill="F4F4F7"/>
          </w:tcPr>
          <w:p>
            <w:r>
              <w:t>labels.urgency field analysis</w:t>
            </w:r>
          </w:p>
        </w:tc>
        <w:tc>
          <w:tcPr>
            <w:tcW w:type="dxa" w:w="2736"/>
            <w:tcBorders>
              <w:top w:val="single" w:sz="6" w:color="D9D9E0"/>
              <w:left w:val="single" w:sz="6" w:color="D9D9E0"/>
              <w:bottom w:val="single" w:sz="6" w:color="D9D9E0"/>
              <w:right w:val="single" w:sz="6" w:color="D9D9E0"/>
            </w:tcBorders>
            <w:shd w:val="clear" w:fill="F4F4F7"/>
          </w:tcPr>
          <w:p>
            <w:r>
              <w:t>Over 74% of tickets are Medium or High urgency.</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resolved on first contact</w:t>
            </w:r>
          </w:p>
        </w:tc>
        <w:tc>
          <w:tcPr>
            <w:tcW w:type="dxa" w:w="1440"/>
            <w:tcBorders>
              <w:top w:val="single" w:sz="6" w:color="D9D9E0"/>
              <w:left w:val="single" w:sz="6" w:color="D9D9E0"/>
              <w:bottom w:val="single" w:sz="6" w:color="D9D9E0"/>
              <w:right w:val="single" w:sz="6" w:color="D9D9E0"/>
            </w:tcBorders>
          </w:tcPr>
          <w:p>
            <w:r>
              <w:t>219 / 500 (43.8%)</w:t>
            </w:r>
          </w:p>
        </w:tc>
        <w:tc>
          <w:tcPr>
            <w:tcW w:type="dxa" w:w="2592"/>
            <w:tcBorders>
              <w:top w:val="single" w:sz="6" w:color="D9D9E0"/>
              <w:left w:val="single" w:sz="6" w:color="D9D9E0"/>
              <w:bottom w:val="single" w:sz="6" w:color="D9D9E0"/>
              <w:right w:val="single" w:sz="6" w:color="D9D9E0"/>
            </w:tcBorders>
          </w:tcPr>
          <w:p>
            <w:r>
              <w:t>history.first_contact_resolution</w:t>
            </w:r>
          </w:p>
        </w:tc>
        <w:tc>
          <w:tcPr>
            <w:tcW w:type="dxa" w:w="2736"/>
            <w:tcBorders>
              <w:top w:val="single" w:sz="6" w:color="D9D9E0"/>
              <w:left w:val="single" w:sz="6" w:color="D9D9E0"/>
              <w:bottom w:val="single" w:sz="6" w:color="D9D9E0"/>
              <w:right w:val="single" w:sz="6" w:color="D9D9E0"/>
            </w:tcBorders>
          </w:tcPr>
          <w:p>
            <w:r>
              <w:t>Low FCR despite high doc answerability.</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r>
              <w:t>2.97 / 5.00</w:t>
            </w:r>
          </w:p>
        </w:tc>
        <w:tc>
          <w:tcPr>
            <w:tcW w:type="dxa" w:w="2592"/>
            <w:tcBorders>
              <w:top w:val="single" w:sz="6" w:color="D9D9E0"/>
              <w:left w:val="single" w:sz="6" w:color="D9D9E0"/>
              <w:bottom w:val="single" w:sz="6" w:color="D9D9E0"/>
              <w:right w:val="single" w:sz="6" w:color="D9D9E0"/>
            </w:tcBorders>
            <w:shd w:val="clear" w:fill="F4F4F7"/>
          </w:tcPr>
          <w:p>
            <w:r>
              <w:t>history.csat_rating</w:t>
            </w:r>
          </w:p>
        </w:tc>
        <w:tc>
          <w:tcPr>
            <w:tcW w:type="dxa" w:w="2736"/>
            <w:tcBorders>
              <w:top w:val="single" w:sz="6" w:color="D9D9E0"/>
              <w:left w:val="single" w:sz="6" w:color="D9D9E0"/>
              <w:bottom w:val="single" w:sz="6" w:color="D9D9E0"/>
              <w:right w:val="single" w:sz="6" w:color="D9D9E0"/>
            </w:tcBorders>
            <w:shd w:val="clear" w:fill="F4F4F7"/>
          </w:tcPr>
          <w:p>
            <w:r>
              <w:t>Significant customer dissatisfaction due to wait times.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Most frequent single question</w:t>
            </w:r>
          </w:p>
        </w:tc>
        <w:tc>
          <w:tcPr>
            <w:tcW w:type="dxa" w:w="1440"/>
            <w:tcBorders>
              <w:top w:val="single" w:sz="6" w:color="D9D9E0"/>
              <w:left w:val="single" w:sz="6" w:color="D9D9E0"/>
              <w:bottom w:val="single" w:sz="6" w:color="D9D9E0"/>
              <w:right w:val="single" w:sz="6" w:color="D9D9E0"/>
            </w:tcBorders>
          </w:tcPr>
          <w:p>
            <w:r>
              <w:t>Data Export (29) &amp; Data Residency (29)</w:t>
            </w:r>
          </w:p>
        </w:tc>
        <w:tc>
          <w:tcPr>
            <w:tcW w:type="dxa" w:w="2592"/>
            <w:tcBorders>
              <w:top w:val="single" w:sz="6" w:color="D9D9E0"/>
              <w:left w:val="single" w:sz="6" w:color="D9D9E0"/>
              <w:bottom w:val="single" w:sz="6" w:color="D9D9E0"/>
              <w:right w:val="single" w:sz="6" w:color="D9D9E0"/>
            </w:tcBorders>
          </w:tcPr>
          <w:p>
            <w:r>
              <w:t>Intent volume ranking</w:t>
            </w:r>
          </w:p>
        </w:tc>
        <w:tc>
          <w:tcPr>
            <w:tcW w:type="dxa" w:w="2736"/>
            <w:tcBorders>
              <w:top w:val="single" w:sz="6" w:color="D9D9E0"/>
              <w:left w:val="single" w:sz="6" w:color="D9D9E0"/>
              <w:bottom w:val="single" w:sz="6" w:color="D9D9E0"/>
              <w:right w:val="single" w:sz="6" w:color="D9D9E0"/>
            </w:tcBorders>
          </w:tcPr>
          <w:p>
            <w:r>
              <w:t>Compliance and data requests are top volume drivers.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r>
              <w:t>357 / 500 (71.4%)</w:t>
            </w:r>
          </w:p>
        </w:tc>
        <w:tc>
          <w:tcPr>
            <w:tcW w:type="dxa" w:w="2592"/>
            <w:tcBorders>
              <w:top w:val="single" w:sz="6" w:color="D9D9E0"/>
              <w:left w:val="single" w:sz="6" w:color="D9D9E0"/>
              <w:bottom w:val="single" w:sz="6" w:color="D9D9E0"/>
              <w:right w:val="single" w:sz="6" w:color="D9D9E0"/>
            </w:tcBorders>
            <w:shd w:val="clear" w:fill="F4F4F7"/>
          </w:tcPr>
          <w:p>
            <w:r>
              <w:t>labels.answerable_from_docs</w:t>
            </w:r>
          </w:p>
        </w:tc>
        <w:tc>
          <w:tcPr>
            <w:tcW w:type="dxa" w:w="2736"/>
            <w:tcBorders>
              <w:top w:val="single" w:sz="6" w:color="D9D9E0"/>
              <w:left w:val="single" w:sz="6" w:color="D9D9E0"/>
              <w:bottom w:val="single" w:sz="6" w:color="D9D9E0"/>
              <w:right w:val="single" w:sz="6" w:color="D9D9E0"/>
            </w:tcBorders>
            <w:shd w:val="clear" w:fill="F4F4F7"/>
          </w:tcPr>
          <w:p>
            <w:r>
              <w:t>71.4% of tickets CAN be answered by existing 29 KB articles!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marked non-fluent, and their outcomes</w:t>
            </w:r>
          </w:p>
        </w:tc>
        <w:tc>
          <w:tcPr>
            <w:tcW w:type="dxa" w:w="1440"/>
            <w:tcBorders>
              <w:top w:val="single" w:sz="6" w:color="D9D9E0"/>
              <w:left w:val="single" w:sz="6" w:color="D9D9E0"/>
              <w:bottom w:val="single" w:sz="6" w:color="D9D9E0"/>
              <w:right w:val="single" w:sz="6" w:color="D9D9E0"/>
            </w:tcBorders>
          </w:tcPr>
          <w:p>
            <w:r>
              <w:t>120 / 500 (24.0%), FCR: 45.8%, CSAT: 3.04</w:t>
            </w:r>
          </w:p>
        </w:tc>
        <w:tc>
          <w:tcPr>
            <w:tcW w:type="dxa" w:w="2592"/>
            <w:tcBorders>
              <w:top w:val="single" w:sz="6" w:color="D9D9E0"/>
              <w:left w:val="single" w:sz="6" w:color="D9D9E0"/>
              <w:bottom w:val="single" w:sz="6" w:color="D9D9E0"/>
              <w:right w:val="single" w:sz="6" w:color="D9D9E0"/>
            </w:tcBorders>
          </w:tcPr>
          <w:p>
            <w:r>
              <w:t>language_fluency field</w:t>
            </w:r>
          </w:p>
        </w:tc>
        <w:tc>
          <w:tcPr>
            <w:tcW w:type="dxa" w:w="2736"/>
            <w:tcBorders>
              <w:top w:val="single" w:sz="6" w:color="D9D9E0"/>
              <w:left w:val="single" w:sz="6" w:color="D9D9E0"/>
              <w:bottom w:val="single" w:sz="6" w:color="D9D9E0"/>
              <w:right w:val="single" w:sz="6" w:color="D9D9E0"/>
            </w:tcBorders>
          </w:tcPr>
          <w:p>
            <w:r>
              <w:t>Non-fluent customers achieve equal or better CSAT when helped.</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t>Outcomes by customer tier</w:t>
            </w:r>
          </w:p>
        </w:tc>
        <w:tc>
          <w:tcPr>
            <w:tcW w:type="dxa" w:w="1440"/>
            <w:tcBorders>
              <w:top w:val="single" w:sz="6" w:color="D9D9E0"/>
              <w:left w:val="single" w:sz="6" w:color="D9D9E0"/>
              <w:bottom w:val="single" w:sz="6" w:color="D9D9E0"/>
              <w:right w:val="single" w:sz="6" w:color="D9D9E0"/>
            </w:tcBorders>
            <w:shd w:val="clear" w:fill="F4F4F7"/>
          </w:tcPr>
          <w:p>
            <w:r>
              <w:t>Standard: 253 (56.9% esc), Business: 164 (51.8% esc), Enterprise: 83 (62.6% esc)</w:t>
            </w:r>
          </w:p>
        </w:tc>
        <w:tc>
          <w:tcPr>
            <w:tcW w:type="dxa" w:w="2592"/>
            <w:tcBorders>
              <w:top w:val="single" w:sz="6" w:color="D9D9E0"/>
              <w:left w:val="single" w:sz="6" w:color="D9D9E0"/>
              <w:bottom w:val="single" w:sz="6" w:color="D9D9E0"/>
              <w:right w:val="single" w:sz="6" w:color="D9D9E0"/>
            </w:tcBorders>
            <w:shd w:val="clear" w:fill="F4F4F7"/>
          </w:tcPr>
          <w:p>
            <w:r>
              <w:t>customer_tier &amp; history.escalated</w:t>
            </w:r>
          </w:p>
        </w:tc>
        <w:tc>
          <w:tcPr>
            <w:tcW w:type="dxa" w:w="2736"/>
            <w:tcBorders>
              <w:top w:val="single" w:sz="6" w:color="D9D9E0"/>
              <w:left w:val="single" w:sz="6" w:color="D9D9E0"/>
              <w:bottom w:val="single" w:sz="6" w:color="D9D9E0"/>
              <w:right w:val="single" w:sz="6" w:color="D9D9E0"/>
            </w:tcBorders>
            <w:shd w:val="clear" w:fill="F4F4F7"/>
          </w:tcPr>
          <w:p>
            <w:r>
              <w:t>Enterprise tickets are escalated most frequently due to SLA sensitivity.</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t>Proportion that are repeat contacts</w:t>
            </w:r>
          </w:p>
        </w:tc>
        <w:tc>
          <w:tcPr>
            <w:tcW w:type="dxa" w:w="1440"/>
            <w:tcBorders>
              <w:top w:val="single" w:sz="6" w:color="D9D9E0"/>
              <w:left w:val="single" w:sz="6" w:color="D9D9E0"/>
              <w:bottom w:val="single" w:sz="6" w:color="D9D9E0"/>
              <w:right w:val="single" w:sz="6" w:color="D9D9E0"/>
            </w:tcBorders>
          </w:tcPr>
          <w:p>
            <w:r>
              <w:t>108 / 500 (21.6%)</w:t>
            </w:r>
          </w:p>
        </w:tc>
        <w:tc>
          <w:tcPr>
            <w:tcW w:type="dxa" w:w="2592"/>
            <w:tcBorders>
              <w:top w:val="single" w:sz="6" w:color="D9D9E0"/>
              <w:left w:val="single" w:sz="6" w:color="D9D9E0"/>
              <w:bottom w:val="single" w:sz="6" w:color="D9D9E0"/>
              <w:right w:val="single" w:sz="6" w:color="D9D9E0"/>
            </w:tcBorders>
          </w:tcPr>
          <w:p>
            <w:r>
              <w:t>history.repeat_contact</w:t>
            </w:r>
          </w:p>
        </w:tc>
        <w:tc>
          <w:tcPr>
            <w:tcW w:type="dxa" w:w="2736"/>
            <w:tcBorders>
              <w:top w:val="single" w:sz="6" w:color="D9D9E0"/>
              <w:left w:val="single" w:sz="6" w:color="D9D9E0"/>
              <w:bottom w:val="single" w:sz="6" w:color="D9D9E0"/>
              <w:right w:val="single" w:sz="6" w:color="D9D9E0"/>
            </w:tcBorders>
          </w:tcPr>
          <w:p>
            <w:r>
              <w:t>1 in 5 tickets is a repeat contact due to initial resolution failure.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r>
              <w:t>Deployment Failure</w:t>
            </w:r>
          </w:p>
        </w:tc>
        <w:tc>
          <w:tcPr>
            <w:tcW w:type="dxa" w:w="1440"/>
            <w:tcBorders>
              <w:top w:val="single" w:sz="6" w:color="D9D9E0"/>
              <w:left w:val="single" w:sz="6" w:color="D9D9E0"/>
              <w:bottom w:val="single" w:sz="6" w:color="D9D9E0"/>
              <w:right w:val="single" w:sz="6" w:color="D9D9E0"/>
            </w:tcBorders>
          </w:tcPr>
          <w:p>
            <w:r>
              <w:t>5.4%</w:t>
            </w:r>
          </w:p>
        </w:tc>
        <w:tc>
          <w:tcPr>
            <w:tcW w:type="dxa" w:w="1728"/>
            <w:tcBorders>
              <w:top w:val="single" w:sz="6" w:color="D9D9E0"/>
              <w:left w:val="single" w:sz="6" w:color="D9D9E0"/>
              <w:bottom w:val="single" w:sz="6" w:color="D9D9E0"/>
              <w:right w:val="single" w:sz="6" w:color="D9D9E0"/>
            </w:tcBorders>
          </w:tcPr>
          <w:p>
            <w:r>
              <w:t>12.0%</w:t>
            </w:r>
          </w:p>
        </w:tc>
        <w:tc>
          <w:tcPr>
            <w:tcW w:type="dxa" w:w="2448"/>
            <w:tcBorders>
              <w:top w:val="single" w:sz="6" w:color="D9D9E0"/>
              <w:left w:val="single" w:sz="6" w:color="D9D9E0"/>
              <w:bottom w:val="single" w:sz="6" w:color="D9D9E0"/>
              <w:right w:val="single" w:sz="6" w:color="D9D9E0"/>
            </w:tcBorders>
          </w:tcPr>
          <w:p>
            <w:r>
              <w:t>High technical troubleshooting effort required</w:t>
            </w:r>
          </w:p>
        </w:tc>
        <w:tc>
          <w:tcPr>
            <w:tcW w:type="dxa" w:w="2016"/>
            <w:tcBorders>
              <w:top w:val="single" w:sz="6" w:color="D9D9E0"/>
              <w:left w:val="single" w:sz="6" w:color="D9D9E0"/>
              <w:bottom w:val="single" w:sz="6" w:color="D9D9E0"/>
              <w:right w:val="single" w:sz="6" w:color="D9D9E0"/>
            </w:tcBorders>
          </w:tcPr>
          <w:p>
            <w:r>
              <w:t>Daniel interview &amp; high urgency</w:t>
            </w:r>
          </w:p>
        </w:tc>
      </w:tr>
      <w:tr>
        <w:tc>
          <w:tcPr>
            <w:tcW w:type="dxa" w:w="2016"/>
            <w:tcBorders>
              <w:top w:val="single" w:sz="6" w:color="D9D9E0"/>
              <w:left w:val="single" w:sz="6" w:color="D9D9E0"/>
              <w:bottom w:val="single" w:sz="6" w:color="D9D9E0"/>
              <w:right w:val="single" w:sz="6" w:color="D9D9E0"/>
            </w:tcBorders>
            <w:shd w:val="clear" w:fill="F4F4F7"/>
          </w:tcPr>
          <w:p>
            <w:r>
              <w:t>Billing Query</w:t>
            </w:r>
          </w:p>
        </w:tc>
        <w:tc>
          <w:tcPr>
            <w:tcW w:type="dxa" w:w="1440"/>
            <w:tcBorders>
              <w:top w:val="single" w:sz="6" w:color="D9D9E0"/>
              <w:left w:val="single" w:sz="6" w:color="D9D9E0"/>
              <w:bottom w:val="single" w:sz="6" w:color="D9D9E0"/>
              <w:right w:val="single" w:sz="6" w:color="D9D9E0"/>
            </w:tcBorders>
            <w:shd w:val="clear" w:fill="F4F4F7"/>
          </w:tcPr>
          <w:p>
            <w:r>
              <w:t>4.8%</w:t>
            </w:r>
          </w:p>
        </w:tc>
        <w:tc>
          <w:tcPr>
            <w:tcW w:type="dxa" w:w="1728"/>
            <w:tcBorders>
              <w:top w:val="single" w:sz="6" w:color="D9D9E0"/>
              <w:left w:val="single" w:sz="6" w:color="D9D9E0"/>
              <w:bottom w:val="single" w:sz="6" w:color="D9D9E0"/>
              <w:right w:val="single" w:sz="6" w:color="D9D9E0"/>
            </w:tcBorders>
            <w:shd w:val="clear" w:fill="F4F4F7"/>
          </w:tcPr>
          <w:p>
            <w:r>
              <w:t>15.0%</w:t>
            </w:r>
          </w:p>
        </w:tc>
        <w:tc>
          <w:tcPr>
            <w:tcW w:type="dxa" w:w="2448"/>
            <w:tcBorders>
              <w:top w:val="single" w:sz="6" w:color="D9D9E0"/>
              <w:left w:val="single" w:sz="6" w:color="D9D9E0"/>
              <w:bottom w:val="single" w:sz="6" w:color="D9D9E0"/>
              <w:right w:val="single" w:sz="6" w:color="D9D9E0"/>
            </w:tcBorders>
            <w:shd w:val="clear" w:fill="F4F4F7"/>
          </w:tcPr>
          <w:p>
            <w:r>
              <w:t>Requires financial verification and contractual checks</w:t>
            </w:r>
          </w:p>
        </w:tc>
        <w:tc>
          <w:tcPr>
            <w:tcW w:type="dxa" w:w="2016"/>
            <w:tcBorders>
              <w:top w:val="single" w:sz="6" w:color="D9D9E0"/>
              <w:left w:val="single" w:sz="6" w:color="D9D9E0"/>
              <w:bottom w:val="single" w:sz="6" w:color="D9D9E0"/>
              <w:right w:val="single" w:sz="6" w:color="D9D9E0"/>
            </w:tcBorders>
            <w:shd w:val="clear" w:fill="F4F4F7"/>
          </w:tcPr>
          <w:p>
            <w:r>
              <w:t>Must not auto-respond rule</w:t>
            </w:r>
          </w:p>
        </w:tc>
      </w:tr>
      <w:tr>
        <w:tc>
          <w:tcPr>
            <w:tcW w:type="dxa" w:w="2016"/>
            <w:tcBorders>
              <w:top w:val="single" w:sz="6" w:color="D9D9E0"/>
              <w:left w:val="single" w:sz="6" w:color="D9D9E0"/>
              <w:bottom w:val="single" w:sz="6" w:color="D9D9E0"/>
              <w:right w:val="single" w:sz="6" w:color="D9D9E0"/>
            </w:tcBorders>
          </w:tcPr>
          <w:p>
            <w:r>
              <w:t>Security Incident</w:t>
            </w:r>
          </w:p>
        </w:tc>
        <w:tc>
          <w:tcPr>
            <w:tcW w:type="dxa" w:w="1440"/>
            <w:tcBorders>
              <w:top w:val="single" w:sz="6" w:color="D9D9E0"/>
              <w:left w:val="single" w:sz="6" w:color="D9D9E0"/>
              <w:bottom w:val="single" w:sz="6" w:color="D9D9E0"/>
              <w:right w:val="single" w:sz="6" w:color="D9D9E0"/>
            </w:tcBorders>
          </w:tcPr>
          <w:p>
            <w:r>
              <w:t>5.2%</w:t>
            </w:r>
          </w:p>
        </w:tc>
        <w:tc>
          <w:tcPr>
            <w:tcW w:type="dxa" w:w="1728"/>
            <w:tcBorders>
              <w:top w:val="single" w:sz="6" w:color="D9D9E0"/>
              <w:left w:val="single" w:sz="6" w:color="D9D9E0"/>
              <w:bottom w:val="single" w:sz="6" w:color="D9D9E0"/>
              <w:right w:val="single" w:sz="6" w:color="D9D9E0"/>
            </w:tcBorders>
          </w:tcPr>
          <w:p>
            <w:r>
              <w:t>18.0%</w:t>
            </w:r>
          </w:p>
        </w:tc>
        <w:tc>
          <w:tcPr>
            <w:tcW w:type="dxa" w:w="2448"/>
            <w:tcBorders>
              <w:top w:val="single" w:sz="6" w:color="D9D9E0"/>
              <w:left w:val="single" w:sz="6" w:color="D9D9E0"/>
              <w:bottom w:val="single" w:sz="6" w:color="D9D9E0"/>
              <w:right w:val="single" w:sz="6" w:color="D9D9E0"/>
            </w:tcBorders>
          </w:tcPr>
          <w:p>
            <w:r>
              <w:t>Requires immediate audit and compliance routing</w:t>
            </w:r>
          </w:p>
        </w:tc>
        <w:tc>
          <w:tcPr>
            <w:tcW w:type="dxa" w:w="2016"/>
            <w:tcBorders>
              <w:top w:val="single" w:sz="6" w:color="D9D9E0"/>
              <w:left w:val="single" w:sz="6" w:color="D9D9E0"/>
              <w:bottom w:val="single" w:sz="6" w:color="D9D9E0"/>
              <w:right w:val="single" w:sz="6" w:color="D9D9E0"/>
            </w:tcBorders>
          </w:tcPr>
          <w:p>
            <w:r>
              <w:t>Zero tolerance policy guardrail</w:t>
            </w:r>
          </w:p>
        </w:tc>
      </w:tr>
      <w:tr>
        <w:tc>
          <w:tcPr>
            <w:tcW w:type="dxa" w:w="2016"/>
            <w:tcBorders>
              <w:top w:val="single" w:sz="6" w:color="D9D9E0"/>
              <w:left w:val="single" w:sz="6" w:color="D9D9E0"/>
              <w:bottom w:val="single" w:sz="6" w:color="D9D9E0"/>
              <w:right w:val="single" w:sz="6" w:color="D9D9E0"/>
            </w:tcBorders>
            <w:shd w:val="clear" w:fill="F4F4F7"/>
          </w:tcPr>
          <w:p>
            <w:r>
              <w:t>Data Export / Residency</w:t>
            </w:r>
          </w:p>
        </w:tc>
        <w:tc>
          <w:tcPr>
            <w:tcW w:type="dxa" w:w="1440"/>
            <w:tcBorders>
              <w:top w:val="single" w:sz="6" w:color="D9D9E0"/>
              <w:left w:val="single" w:sz="6" w:color="D9D9E0"/>
              <w:bottom w:val="single" w:sz="6" w:color="D9D9E0"/>
              <w:right w:val="single" w:sz="6" w:color="D9D9E0"/>
            </w:tcBorders>
            <w:shd w:val="clear" w:fill="F4F4F7"/>
          </w:tcPr>
          <w:p>
            <w:r>
              <w:t>11.6%</w:t>
            </w:r>
          </w:p>
        </w:tc>
        <w:tc>
          <w:tcPr>
            <w:tcW w:type="dxa" w:w="1728"/>
            <w:tcBorders>
              <w:top w:val="single" w:sz="6" w:color="D9D9E0"/>
              <w:left w:val="single" w:sz="6" w:color="D9D9E0"/>
              <w:bottom w:val="single" w:sz="6" w:color="D9D9E0"/>
              <w:right w:val="single" w:sz="6" w:color="D9D9E0"/>
            </w:tcBorders>
            <w:shd w:val="clear" w:fill="F4F4F7"/>
          </w:tcPr>
          <w:p>
            <w:r>
              <w:t>15.0%</w:t>
            </w:r>
          </w:p>
        </w:tc>
        <w:tc>
          <w:tcPr>
            <w:tcW w:type="dxa" w:w="2448"/>
            <w:tcBorders>
              <w:top w:val="single" w:sz="6" w:color="D9D9E0"/>
              <w:left w:val="single" w:sz="6" w:color="D9D9E0"/>
              <w:bottom w:val="single" w:sz="6" w:color="D9D9E0"/>
              <w:right w:val="single" w:sz="6" w:color="D9D9E0"/>
            </w:tcBorders>
            <w:shd w:val="clear" w:fill="F4F4F7"/>
          </w:tcPr>
          <w:p>
            <w:r>
              <w:t>Requires privacy check and data pipeline execution</w:t>
            </w:r>
          </w:p>
        </w:tc>
        <w:tc>
          <w:tcPr>
            <w:tcW w:type="dxa" w:w="2016"/>
            <w:tcBorders>
              <w:top w:val="single" w:sz="6" w:color="D9D9E0"/>
              <w:left w:val="single" w:sz="6" w:color="D9D9E0"/>
              <w:bottom w:val="single" w:sz="6" w:color="D9D9E0"/>
              <w:right w:val="single" w:sz="6" w:color="D9D9E0"/>
            </w:tcBorders>
            <w:shd w:val="clear" w:fill="F4F4F7"/>
          </w:tcPr>
          <w:p>
            <w:r>
              <w:t>Compliance sensitivity</w:t>
            </w:r>
          </w:p>
        </w:tc>
      </w:tr>
      <w:tr>
        <w:tc>
          <w:tcPr>
            <w:tcW w:type="dxa" w:w="2016"/>
            <w:tcBorders>
              <w:top w:val="single" w:sz="6" w:color="D9D9E0"/>
              <w:left w:val="single" w:sz="6" w:color="D9D9E0"/>
              <w:bottom w:val="single" w:sz="6" w:color="D9D9E0"/>
              <w:right w:val="single" w:sz="6" w:color="D9D9E0"/>
            </w:tcBorders>
          </w:tcPr>
          <w:p>
            <w:r>
              <w:t>Authentication / SSO</w:t>
            </w:r>
          </w:p>
        </w:tc>
        <w:tc>
          <w:tcPr>
            <w:tcW w:type="dxa" w:w="1440"/>
            <w:tcBorders>
              <w:top w:val="single" w:sz="6" w:color="D9D9E0"/>
              <w:left w:val="single" w:sz="6" w:color="D9D9E0"/>
              <w:bottom w:val="single" w:sz="6" w:color="D9D9E0"/>
              <w:right w:val="single" w:sz="6" w:color="D9D9E0"/>
            </w:tcBorders>
          </w:tcPr>
          <w:p>
            <w:r>
              <w:t>9.2%</w:t>
            </w:r>
          </w:p>
        </w:tc>
        <w:tc>
          <w:tcPr>
            <w:tcW w:type="dxa" w:w="1728"/>
            <w:tcBorders>
              <w:top w:val="single" w:sz="6" w:color="D9D9E0"/>
              <w:left w:val="single" w:sz="6" w:color="D9D9E0"/>
              <w:bottom w:val="single" w:sz="6" w:color="D9D9E0"/>
              <w:right w:val="single" w:sz="6" w:color="D9D9E0"/>
            </w:tcBorders>
          </w:tcPr>
          <w:p>
            <w:r>
              <w:t>10.0%</w:t>
            </w:r>
          </w:p>
        </w:tc>
        <w:tc>
          <w:tcPr>
            <w:tcW w:type="dxa" w:w="2448"/>
            <w:tcBorders>
              <w:top w:val="single" w:sz="6" w:color="D9D9E0"/>
              <w:left w:val="single" w:sz="6" w:color="D9D9E0"/>
              <w:bottom w:val="single" w:sz="6" w:color="D9D9E0"/>
              <w:right w:val="single" w:sz="6" w:color="D9D9E0"/>
            </w:tcBorders>
          </w:tcPr>
          <w:p>
            <w:r>
              <w:t>Identity verification and secret rotation</w:t>
            </w:r>
          </w:p>
        </w:tc>
        <w:tc>
          <w:tcPr>
            <w:tcW w:type="dxa" w:w="2016"/>
            <w:tcBorders>
              <w:top w:val="single" w:sz="6" w:color="D9D9E0"/>
              <w:left w:val="single" w:sz="6" w:color="D9D9E0"/>
              <w:bottom w:val="single" w:sz="6" w:color="D9D9E0"/>
              <w:right w:val="single" w:sz="6" w:color="D9D9E0"/>
            </w:tcBorders>
          </w:tcPr>
          <w:p>
            <w:r>
              <w:t>Tier 1 cheat sheet dependency</w:t>
            </w:r>
          </w:p>
        </w:tc>
      </w:tr>
      <w:tr>
        <w:tc>
          <w:tcPr>
            <w:tcW w:type="dxa" w:w="2016"/>
            <w:tcBorders>
              <w:top w:val="single" w:sz="6" w:color="D9D9E0"/>
              <w:left w:val="single" w:sz="6" w:color="D9D9E0"/>
              <w:bottom w:val="single" w:sz="6" w:color="D9D9E0"/>
              <w:right w:val="single" w:sz="6" w:color="D9D9E0"/>
            </w:tcBorders>
            <w:shd w:val="clear" w:fill="F4F4F7"/>
          </w:tcPr>
          <w:p>
            <w:r>
              <w:t>Configuration Help</w:t>
            </w:r>
          </w:p>
        </w:tc>
        <w:tc>
          <w:tcPr>
            <w:tcW w:type="dxa" w:w="1440"/>
            <w:tcBorders>
              <w:top w:val="single" w:sz="6" w:color="D9D9E0"/>
              <w:left w:val="single" w:sz="6" w:color="D9D9E0"/>
              <w:bottom w:val="single" w:sz="6" w:color="D9D9E0"/>
              <w:right w:val="single" w:sz="6" w:color="D9D9E0"/>
            </w:tcBorders>
            <w:shd w:val="clear" w:fill="F4F4F7"/>
          </w:tcPr>
          <w:p>
            <w:r>
              <w:t>3.4%</w:t>
            </w:r>
          </w:p>
        </w:tc>
        <w:tc>
          <w:tcPr>
            <w:tcW w:type="dxa" w:w="1728"/>
            <w:tcBorders>
              <w:top w:val="single" w:sz="6" w:color="D9D9E0"/>
              <w:left w:val="single" w:sz="6" w:color="D9D9E0"/>
              <w:bottom w:val="single" w:sz="6" w:color="D9D9E0"/>
              <w:right w:val="single" w:sz="6" w:color="D9D9E0"/>
            </w:tcBorders>
            <w:shd w:val="clear" w:fill="F4F4F7"/>
          </w:tcPr>
          <w:p>
            <w:r>
              <w:t>8.0%</w:t>
            </w:r>
          </w:p>
        </w:tc>
        <w:tc>
          <w:tcPr>
            <w:tcW w:type="dxa" w:w="2448"/>
            <w:tcBorders>
              <w:top w:val="single" w:sz="6" w:color="D9D9E0"/>
              <w:left w:val="single" w:sz="6" w:color="D9D9E0"/>
              <w:bottom w:val="single" w:sz="6" w:color="D9D9E0"/>
              <w:right w:val="single" w:sz="6" w:color="D9D9E0"/>
            </w:tcBorders>
            <w:shd w:val="clear" w:fill="F4F4F7"/>
          </w:tcPr>
          <w:p>
            <w:r>
              <w:t>Iterative parameter testing and doc search</w:t>
            </w:r>
          </w:p>
        </w:tc>
        <w:tc>
          <w:tcPr>
            <w:tcW w:type="dxa" w:w="2016"/>
            <w:tcBorders>
              <w:top w:val="single" w:sz="6" w:color="D9D9E0"/>
              <w:left w:val="single" w:sz="6" w:color="D9D9E0"/>
              <w:bottom w:val="single" w:sz="6" w:color="D9D9E0"/>
              <w:right w:val="single" w:sz="6" w:color="D9D9E0"/>
            </w:tcBorders>
            <w:shd w:val="clear" w:fill="F4F4F7"/>
          </w:tcPr>
          <w:p>
            <w:r>
              <w:t>Ines title mismatch finding</w:t>
            </w:r>
          </w:p>
        </w:tc>
      </w:tr>
      <w:tr>
        <w:tc>
          <w:tcPr>
            <w:tcW w:type="dxa" w:w="2016"/>
            <w:tcBorders>
              <w:top w:val="single" w:sz="6" w:color="D9D9E0"/>
              <w:left w:val="single" w:sz="6" w:color="D9D9E0"/>
              <w:bottom w:val="single" w:sz="6" w:color="D9D9E0"/>
              <w:right w:val="single" w:sz="6" w:color="D9D9E0"/>
            </w:tcBorders>
          </w:tcPr>
          <w:p>
            <w:r>
              <w:t>Other KB Answerable</w:t>
            </w:r>
          </w:p>
        </w:tc>
        <w:tc>
          <w:tcPr>
            <w:tcW w:type="dxa" w:w="1440"/>
            <w:tcBorders>
              <w:top w:val="single" w:sz="6" w:color="D9D9E0"/>
              <w:left w:val="single" w:sz="6" w:color="D9D9E0"/>
              <w:bottom w:val="single" w:sz="6" w:color="D9D9E0"/>
              <w:right w:val="single" w:sz="6" w:color="D9D9E0"/>
            </w:tcBorders>
          </w:tcPr>
          <w:p>
            <w:r>
              <w:t>60.4%</w:t>
            </w:r>
          </w:p>
        </w:tc>
        <w:tc>
          <w:tcPr>
            <w:tcW w:type="dxa" w:w="1728"/>
            <w:tcBorders>
              <w:top w:val="single" w:sz="6" w:color="D9D9E0"/>
              <w:left w:val="single" w:sz="6" w:color="D9D9E0"/>
              <w:bottom w:val="single" w:sz="6" w:color="D9D9E0"/>
              <w:right w:val="single" w:sz="6" w:color="D9D9E0"/>
            </w:tcBorders>
          </w:tcPr>
          <w:p>
            <w:r>
              <w:t>22.0%</w:t>
            </w:r>
          </w:p>
        </w:tc>
        <w:tc>
          <w:tcPr>
            <w:tcW w:type="dxa" w:w="2448"/>
            <w:tcBorders>
              <w:top w:val="single" w:sz="6" w:color="D9D9E0"/>
              <w:left w:val="single" w:sz="6" w:color="D9D9E0"/>
              <w:bottom w:val="single" w:sz="6" w:color="D9D9E0"/>
              <w:right w:val="single" w:sz="6" w:color="D9D9E0"/>
            </w:tcBorders>
          </w:tcPr>
          <w:p>
            <w:r>
              <w:t>Standard queries matching documentation</w:t>
            </w:r>
          </w:p>
        </w:tc>
        <w:tc>
          <w:tcPr>
            <w:tcW w:type="dxa" w:w="2016"/>
            <w:tcBorders>
              <w:top w:val="single" w:sz="6" w:color="D9D9E0"/>
              <w:left w:val="single" w:sz="6" w:color="D9D9E0"/>
              <w:bottom w:val="single" w:sz="6" w:color="D9D9E0"/>
              <w:right w:val="single" w:sz="6" w:color="D9D9E0"/>
            </w:tcBorders>
          </w:tcPr>
          <w:p>
            <w:r>
              <w:t>71.4% total doc answerable</w:t>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r>
              <w:t>1</w:t>
            </w:r>
          </w:p>
        </w:tc>
        <w:tc>
          <w:tcPr>
            <w:tcW w:type="dxa" w:w="3168"/>
            <w:tcBorders>
              <w:top w:val="single" w:sz="6" w:color="D9D9E0"/>
              <w:left w:val="single" w:sz="6" w:color="D9D9E0"/>
              <w:bottom w:val="single" w:sz="6" w:color="D9D9E0"/>
              <w:right w:val="single" w:sz="6" w:color="D9D9E0"/>
            </w:tcBorders>
          </w:tcPr>
          <w:p>
            <w:r>
              <w:t>Read ticket body &amp; interpret customer request</w:t>
            </w:r>
          </w:p>
        </w:tc>
        <w:tc>
          <w:tcPr>
            <w:tcW w:type="dxa" w:w="1584"/>
            <w:tcBorders>
              <w:top w:val="single" w:sz="6" w:color="D9D9E0"/>
              <w:left w:val="single" w:sz="6" w:color="D9D9E0"/>
              <w:bottom w:val="single" w:sz="6" w:color="D9D9E0"/>
              <w:right w:val="single" w:sz="6" w:color="D9D9E0"/>
            </w:tcBorders>
          </w:tcPr>
          <w:p>
            <w:r>
              <w:t>3-5 mins</w:t>
            </w:r>
          </w:p>
        </w:tc>
        <w:tc>
          <w:tcPr>
            <w:tcW w:type="dxa" w:w="4176"/>
            <w:tcBorders>
              <w:top w:val="single" w:sz="6" w:color="D9D9E0"/>
              <w:left w:val="single" w:sz="6" w:color="D9D9E0"/>
              <w:bottom w:val="single" w:sz="6" w:color="D9D9E0"/>
              <w:right w:val="single" w:sz="6" w:color="D9D9E0"/>
            </w:tcBorders>
          </w:tcPr>
          <w:p>
            <w:r>
              <w:t>Yes. Automated intent classification with NLP/LLM.</w:t>
            </w:r>
          </w:p>
        </w:tc>
      </w:tr>
      <w:tr>
        <w:tc>
          <w:tcPr>
            <w:tcW w:type="dxa" w:w="720"/>
            <w:tcBorders>
              <w:top w:val="single" w:sz="6" w:color="D9D9E0"/>
              <w:left w:val="single" w:sz="6" w:color="D9D9E0"/>
              <w:bottom w:val="single" w:sz="6" w:color="D9D9E0"/>
              <w:right w:val="single" w:sz="6" w:color="D9D9E0"/>
            </w:tcBorders>
            <w:shd w:val="clear" w:fill="F4F4F7"/>
          </w:tcPr>
          <w:p>
            <w:r>
              <w:t>2</w:t>
            </w:r>
          </w:p>
        </w:tc>
        <w:tc>
          <w:tcPr>
            <w:tcW w:type="dxa" w:w="3168"/>
            <w:tcBorders>
              <w:top w:val="single" w:sz="6" w:color="D9D9E0"/>
              <w:left w:val="single" w:sz="6" w:color="D9D9E0"/>
              <w:bottom w:val="single" w:sz="6" w:color="D9D9E0"/>
              <w:right w:val="single" w:sz="6" w:color="D9D9E0"/>
            </w:tcBorders>
            <w:shd w:val="clear" w:fill="F4F4F7"/>
          </w:tcPr>
          <w:p>
            <w:r>
              <w:t>Search KB for matching documentation</w:t>
            </w:r>
          </w:p>
        </w:tc>
        <w:tc>
          <w:tcPr>
            <w:tcW w:type="dxa" w:w="1584"/>
            <w:tcBorders>
              <w:top w:val="single" w:sz="6" w:color="D9D9E0"/>
              <w:left w:val="single" w:sz="6" w:color="D9D9E0"/>
              <w:bottom w:val="single" w:sz="6" w:color="D9D9E0"/>
              <w:right w:val="single" w:sz="6" w:color="D9D9E0"/>
            </w:tcBorders>
            <w:shd w:val="clear" w:fill="F4F4F7"/>
          </w:tcPr>
          <w:p>
            <w:r>
              <w:t>5-10 mins</w:t>
            </w:r>
          </w:p>
        </w:tc>
        <w:tc>
          <w:tcPr>
            <w:tcW w:type="dxa" w:w="4176"/>
            <w:tcBorders>
              <w:top w:val="single" w:sz="6" w:color="D9D9E0"/>
              <w:left w:val="single" w:sz="6" w:color="D9D9E0"/>
              <w:bottom w:val="single" w:sz="6" w:color="D9D9E0"/>
              <w:right w:val="single" w:sz="6" w:color="D9D9E0"/>
            </w:tcBorders>
            <w:shd w:val="clear" w:fill="F4F4F7"/>
          </w:tcPr>
          <w:p>
            <w:r>
              <w:t>Yes. Dense vector embedding semantic search (Chroma).</w:t>
            </w:r>
          </w:p>
        </w:tc>
      </w:tr>
      <w:tr>
        <w:tc>
          <w:tcPr>
            <w:tcW w:type="dxa" w:w="720"/>
            <w:tcBorders>
              <w:top w:val="single" w:sz="6" w:color="D9D9E0"/>
              <w:left w:val="single" w:sz="6" w:color="D9D9E0"/>
              <w:bottom w:val="single" w:sz="6" w:color="D9D9E0"/>
              <w:right w:val="single" w:sz="6" w:color="D9D9E0"/>
            </w:tcBorders>
          </w:tcPr>
          <w:p>
            <w:r>
              <w:t>3</w:t>
            </w:r>
          </w:p>
        </w:tc>
        <w:tc>
          <w:tcPr>
            <w:tcW w:type="dxa" w:w="3168"/>
            <w:tcBorders>
              <w:top w:val="single" w:sz="6" w:color="D9D9E0"/>
              <w:left w:val="single" w:sz="6" w:color="D9D9E0"/>
              <w:bottom w:val="single" w:sz="6" w:color="D9D9E0"/>
              <w:right w:val="single" w:sz="6" w:color="D9D9E0"/>
            </w:tcBorders>
          </w:tcPr>
          <w:p>
            <w:r>
              <w:t>Consult private personal snippet file</w:t>
            </w:r>
          </w:p>
        </w:tc>
        <w:tc>
          <w:tcPr>
            <w:tcW w:type="dxa" w:w="1584"/>
            <w:tcBorders>
              <w:top w:val="single" w:sz="6" w:color="D9D9E0"/>
              <w:left w:val="single" w:sz="6" w:color="D9D9E0"/>
              <w:bottom w:val="single" w:sz="6" w:color="D9D9E0"/>
              <w:right w:val="single" w:sz="6" w:color="D9D9E0"/>
            </w:tcBorders>
          </w:tcPr>
          <w:p>
            <w:r>
              <w:t>5 mins</w:t>
            </w:r>
          </w:p>
        </w:tc>
        <w:tc>
          <w:tcPr>
            <w:tcW w:type="dxa" w:w="4176"/>
            <w:tcBorders>
              <w:top w:val="single" w:sz="6" w:color="D9D9E0"/>
              <w:left w:val="single" w:sz="6" w:color="D9D9E0"/>
              <w:bottom w:val="single" w:sz="6" w:color="D9D9E0"/>
              <w:right w:val="single" w:sz="6" w:color="D9D9E0"/>
            </w:tcBorders>
          </w:tcPr>
          <w:p>
            <w:r>
              <w:t>No (eliminate). Replace with verified KB retrieval.</w:t>
            </w:r>
          </w:p>
        </w:tc>
      </w:tr>
      <w:tr>
        <w:tc>
          <w:tcPr>
            <w:tcW w:type="dxa" w:w="720"/>
            <w:tcBorders>
              <w:top w:val="single" w:sz="6" w:color="D9D9E0"/>
              <w:left w:val="single" w:sz="6" w:color="D9D9E0"/>
              <w:bottom w:val="single" w:sz="6" w:color="D9D9E0"/>
              <w:right w:val="single" w:sz="6" w:color="D9D9E0"/>
            </w:tcBorders>
            <w:shd w:val="clear" w:fill="F4F4F7"/>
          </w:tcPr>
          <w:p>
            <w:r>
              <w:t>4</w:t>
            </w:r>
          </w:p>
        </w:tc>
        <w:tc>
          <w:tcPr>
            <w:tcW w:type="dxa" w:w="3168"/>
            <w:tcBorders>
              <w:top w:val="single" w:sz="6" w:color="D9D9E0"/>
              <w:left w:val="single" w:sz="6" w:color="D9D9E0"/>
              <w:bottom w:val="single" w:sz="6" w:color="D9D9E0"/>
              <w:right w:val="single" w:sz="6" w:color="D9D9E0"/>
            </w:tcBorders>
            <w:shd w:val="clear" w:fill="F4F4F7"/>
          </w:tcPr>
          <w:p>
            <w:r>
              <w:t>Draft response or compile escalation note</w:t>
            </w:r>
          </w:p>
        </w:tc>
        <w:tc>
          <w:tcPr>
            <w:tcW w:type="dxa" w:w="1584"/>
            <w:tcBorders>
              <w:top w:val="single" w:sz="6" w:color="D9D9E0"/>
              <w:left w:val="single" w:sz="6" w:color="D9D9E0"/>
              <w:bottom w:val="single" w:sz="6" w:color="D9D9E0"/>
              <w:right w:val="single" w:sz="6" w:color="D9D9E0"/>
            </w:tcBorders>
            <w:shd w:val="clear" w:fill="F4F4F7"/>
          </w:tcPr>
          <w:p>
            <w:r>
              <w:t>5-10 mins</w:t>
            </w:r>
          </w:p>
        </w:tc>
        <w:tc>
          <w:tcPr>
            <w:tcW w:type="dxa" w:w="4176"/>
            <w:tcBorders>
              <w:top w:val="single" w:sz="6" w:color="D9D9E0"/>
              <w:left w:val="single" w:sz="6" w:color="D9D9E0"/>
              <w:bottom w:val="single" w:sz="6" w:color="D9D9E0"/>
              <w:right w:val="single" w:sz="6" w:color="D9D9E0"/>
            </w:tcBorders>
            <w:shd w:val="clear" w:fill="F4F4F7"/>
          </w:tcPr>
          <w:p>
            <w:r>
              <w:t>Yes. Grounded prompt generation &amp; citation injection.</w:t>
            </w:r>
          </w:p>
        </w:tc>
      </w:tr>
      <w:tr>
        <w:tc>
          <w:tcPr>
            <w:tcW w:type="dxa" w:w="720"/>
            <w:tcBorders>
              <w:top w:val="single" w:sz="6" w:color="D9D9E0"/>
              <w:left w:val="single" w:sz="6" w:color="D9D9E0"/>
              <w:bottom w:val="single" w:sz="6" w:color="D9D9E0"/>
              <w:right w:val="single" w:sz="6" w:color="D9D9E0"/>
            </w:tcBorders>
          </w:tcPr>
          <w:p>
            <w:r>
              <w:t>5</w:t>
            </w:r>
          </w:p>
        </w:tc>
        <w:tc>
          <w:tcPr>
            <w:tcW w:type="dxa" w:w="3168"/>
            <w:tcBorders>
              <w:top w:val="single" w:sz="6" w:color="D9D9E0"/>
              <w:left w:val="single" w:sz="6" w:color="D9D9E0"/>
              <w:bottom w:val="single" w:sz="6" w:color="D9D9E0"/>
              <w:right w:val="single" w:sz="6" w:color="D9D9E0"/>
            </w:tcBorders>
          </w:tcPr>
          <w:p>
            <w:r>
              <w:t>Verify guardrails &amp; send response</w:t>
            </w:r>
          </w:p>
        </w:tc>
        <w:tc>
          <w:tcPr>
            <w:tcW w:type="dxa" w:w="1584"/>
            <w:tcBorders>
              <w:top w:val="single" w:sz="6" w:color="D9D9E0"/>
              <w:left w:val="single" w:sz="6" w:color="D9D9E0"/>
              <w:bottom w:val="single" w:sz="6" w:color="D9D9E0"/>
              <w:right w:val="single" w:sz="6" w:color="D9D9E0"/>
            </w:tcBorders>
          </w:tcPr>
          <w:p>
            <w:r>
              <w:t>2-3 mins</w:t>
            </w:r>
          </w:p>
        </w:tc>
        <w:tc>
          <w:tcPr>
            <w:tcW w:type="dxa" w:w="4176"/>
            <w:tcBorders>
              <w:top w:val="single" w:sz="6" w:color="D9D9E0"/>
              <w:left w:val="single" w:sz="6" w:color="D9D9E0"/>
              <w:bottom w:val="single" w:sz="6" w:color="D9D9E0"/>
              <w:right w:val="single" w:sz="6" w:color="D9D9E0"/>
            </w:tcBorders>
          </w:tcPr>
          <w:p>
            <w:r>
              <w:t>Yes. Automated PII, injection &amp; grounding guardrails.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tcPr>
          <w:p>
            <w:pPr>
              <w:spacing w:before="50" w:after="50"/>
            </w:pPr>
            <w:r>
              <w:rPr>
                <w:sz w:val="16"/>
              </w:rPr>
            </w:r>
          </w:p>
        </w:tc>
        <w:tc>
          <w:tcPr>
            <w:tcW w:type="dxa" w:w="3168"/>
            <w:tcBorders>
              <w:top w:val="single" w:sz="6" w:color="D9D9E0"/>
              <w:left w:val="single" w:sz="6" w:color="D9D9E0"/>
              <w:bottom w:val="single" w:sz="6" w:color="D9D9E0"/>
              <w:right w:val="single" w:sz="6" w:color="D9D9E0"/>
            </w:tcBorders>
          </w:tcPr>
          <w:p>
            <w:pPr>
              <w:spacing w:before="50" w:after="50"/>
            </w:pPr>
            <w:r>
              <w:rPr>
                <w:sz w:val="16"/>
              </w:rPr>
            </w:r>
          </w:p>
        </w:tc>
        <w:tc>
          <w:tcPr>
            <w:tcW w:type="dxa" w:w="1584"/>
            <w:tcBorders>
              <w:top w:val="single" w:sz="6" w:color="D9D9E0"/>
              <w:left w:val="single" w:sz="6" w:color="D9D9E0"/>
              <w:bottom w:val="single" w:sz="6" w:color="D9D9E0"/>
              <w:right w:val="single" w:sz="6" w:color="D9D9E0"/>
            </w:tcBorders>
          </w:tcPr>
          <w:p>
            <w:pPr>
              <w:spacing w:before="50" w:after="50"/>
            </w:pPr>
            <w:r>
              <w:rPr>
                <w:sz w:val="16"/>
              </w:rPr>
            </w:r>
          </w:p>
        </w:tc>
        <w:tc>
          <w:tcPr>
            <w:tcW w:type="dxa" w:w="417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r>
              <w:t>First Contact Resolution (FCR)</w:t>
            </w:r>
          </w:p>
        </w:tc>
        <w:tc>
          <w:tcPr>
            <w:tcW w:type="dxa" w:w="1728"/>
            <w:tcBorders>
              <w:top w:val="single" w:sz="6" w:color="D9D9E0"/>
              <w:left w:val="single" w:sz="6" w:color="D9D9E0"/>
              <w:bottom w:val="single" w:sz="6" w:color="D9D9E0"/>
              <w:right w:val="single" w:sz="6" w:color="D9D9E0"/>
            </w:tcBorders>
          </w:tcPr>
          <w:p>
            <w:r>
              <w:t>Marcus Adeyemi</w:t>
            </w:r>
          </w:p>
        </w:tc>
        <w:tc>
          <w:tcPr>
            <w:tcW w:type="dxa" w:w="1440"/>
            <w:tcBorders>
              <w:top w:val="single" w:sz="6" w:color="D9D9E0"/>
              <w:left w:val="single" w:sz="6" w:color="D9D9E0"/>
              <w:bottom w:val="single" w:sz="6" w:color="D9D9E0"/>
              <w:right w:val="single" w:sz="6" w:color="D9D9E0"/>
            </w:tcBorders>
          </w:tcPr>
          <w:p>
            <w:r>
              <w:t>43.8%</w:t>
            </w:r>
          </w:p>
        </w:tc>
        <w:tc>
          <w:tcPr>
            <w:tcW w:type="dxa" w:w="2448"/>
            <w:tcBorders>
              <w:top w:val="single" w:sz="6" w:color="D9D9E0"/>
              <w:left w:val="single" w:sz="6" w:color="D9D9E0"/>
              <w:bottom w:val="single" w:sz="6" w:color="D9D9E0"/>
              <w:right w:val="single" w:sz="6" w:color="D9D9E0"/>
            </w:tcBorders>
          </w:tcPr>
          <w:p>
            <w:r>
              <w:t>&gt; 65.0%</w:t>
            </w:r>
          </w:p>
        </w:tc>
        <w:tc>
          <w:tcPr>
            <w:tcW w:type="dxa" w:w="2016"/>
            <w:tcBorders>
              <w:top w:val="single" w:sz="6" w:color="D9D9E0"/>
              <w:left w:val="single" w:sz="6" w:color="D9D9E0"/>
              <w:bottom w:val="single" w:sz="6" w:color="D9D9E0"/>
              <w:right w:val="single" w:sz="6" w:color="D9D9E0"/>
            </w:tcBorders>
          </w:tcPr>
          <w:p>
            <w:r>
              <w:t>High (measured from 500 tickets)</w:t>
            </w:r>
          </w:p>
        </w:tc>
      </w:tr>
      <w:tr>
        <w:tc>
          <w:tcPr>
            <w:tcW w:type="dxa" w:w="2016"/>
            <w:tcBorders>
              <w:top w:val="single" w:sz="6" w:color="D9D9E0"/>
              <w:left w:val="single" w:sz="6" w:color="D9D9E0"/>
              <w:bottom w:val="single" w:sz="6" w:color="D9D9E0"/>
              <w:right w:val="single" w:sz="6" w:color="D9D9E0"/>
            </w:tcBorders>
            <w:shd w:val="clear" w:fill="F4F4F7"/>
          </w:tcPr>
          <w:p>
            <w:r>
              <w:t>Mean Time to Respond (MTTR)</w:t>
            </w:r>
          </w:p>
        </w:tc>
        <w:tc>
          <w:tcPr>
            <w:tcW w:type="dxa" w:w="1728"/>
            <w:tcBorders>
              <w:top w:val="single" w:sz="6" w:color="D9D9E0"/>
              <w:left w:val="single" w:sz="6" w:color="D9D9E0"/>
              <w:bottom w:val="single" w:sz="6" w:color="D9D9E0"/>
              <w:right w:val="single" w:sz="6" w:color="D9D9E0"/>
            </w:tcBorders>
            <w:shd w:val="clear" w:fill="F4F4F7"/>
          </w:tcPr>
          <w:p>
            <w:r>
              <w:t>Marcus &amp; Ravi</w:t>
            </w:r>
          </w:p>
        </w:tc>
        <w:tc>
          <w:tcPr>
            <w:tcW w:type="dxa" w:w="1440"/>
            <w:tcBorders>
              <w:top w:val="single" w:sz="6" w:color="D9D9E0"/>
              <w:left w:val="single" w:sz="6" w:color="D9D9E0"/>
              <w:bottom w:val="single" w:sz="6" w:color="D9D9E0"/>
              <w:right w:val="single" w:sz="6" w:color="D9D9E0"/>
            </w:tcBorders>
            <w:shd w:val="clear" w:fill="F4F4F7"/>
          </w:tcPr>
          <w:p>
            <w:r>
              <w:t>4+ hours</w:t>
            </w:r>
          </w:p>
        </w:tc>
        <w:tc>
          <w:tcPr>
            <w:tcW w:type="dxa" w:w="2448"/>
            <w:tcBorders>
              <w:top w:val="single" w:sz="6" w:color="D9D9E0"/>
              <w:left w:val="single" w:sz="6" w:color="D9D9E0"/>
              <w:bottom w:val="single" w:sz="6" w:color="D9D9E0"/>
              <w:right w:val="single" w:sz="6" w:color="D9D9E0"/>
            </w:tcBorders>
            <w:shd w:val="clear" w:fill="F4F4F7"/>
          </w:tcPr>
          <w:p>
            <w:r>
              <w:t>&lt; 5 minutes for auto-respond</w:t>
            </w:r>
          </w:p>
        </w:tc>
        <w:tc>
          <w:tcPr>
            <w:tcW w:type="dxa" w:w="2016"/>
            <w:tcBorders>
              <w:top w:val="single" w:sz="6" w:color="D9D9E0"/>
              <w:left w:val="single" w:sz="6" w:color="D9D9E0"/>
              <w:bottom w:val="single" w:sz="6" w:color="D9D9E0"/>
              <w:right w:val="single" w:sz="6" w:color="D9D9E0"/>
            </w:tcBorders>
            <w:shd w:val="clear" w:fill="F4F4F7"/>
          </w:tcPr>
          <w:p>
            <w:r>
              <w:t>High (measured from logs)</w:t>
            </w:r>
          </w:p>
        </w:tc>
      </w:tr>
      <w:tr>
        <w:tc>
          <w:tcPr>
            <w:tcW w:type="dxa" w:w="2016"/>
            <w:tcBorders>
              <w:top w:val="single" w:sz="6" w:color="D9D9E0"/>
              <w:left w:val="single" w:sz="6" w:color="D9D9E0"/>
              <w:bottom w:val="single" w:sz="6" w:color="D9D9E0"/>
              <w:right w:val="single" w:sz="6" w:color="D9D9E0"/>
            </w:tcBorders>
          </w:tcPr>
          <w:p>
            <w:r>
              <w:t>Documentation Answerability Utilization</w:t>
            </w:r>
          </w:p>
        </w:tc>
        <w:tc>
          <w:tcPr>
            <w:tcW w:type="dxa" w:w="1728"/>
            <w:tcBorders>
              <w:top w:val="single" w:sz="6" w:color="D9D9E0"/>
              <w:left w:val="single" w:sz="6" w:color="D9D9E0"/>
              <w:bottom w:val="single" w:sz="6" w:color="D9D9E0"/>
              <w:right w:val="single" w:sz="6" w:color="D9D9E0"/>
            </w:tcBorders>
          </w:tcPr>
          <w:p>
            <w:r>
              <w:t>Ines Varga</w:t>
            </w:r>
          </w:p>
        </w:tc>
        <w:tc>
          <w:tcPr>
            <w:tcW w:type="dxa" w:w="1440"/>
            <w:tcBorders>
              <w:top w:val="single" w:sz="6" w:color="D9D9E0"/>
              <w:left w:val="single" w:sz="6" w:color="D9D9E0"/>
              <w:bottom w:val="single" w:sz="6" w:color="D9D9E0"/>
              <w:right w:val="single" w:sz="6" w:color="D9D9E0"/>
            </w:tcBorders>
          </w:tcPr>
          <w:p>
            <w:r>
              <w:t>43.8%</w:t>
            </w:r>
          </w:p>
        </w:tc>
        <w:tc>
          <w:tcPr>
            <w:tcW w:type="dxa" w:w="2448"/>
            <w:tcBorders>
              <w:top w:val="single" w:sz="6" w:color="D9D9E0"/>
              <w:left w:val="single" w:sz="6" w:color="D9D9E0"/>
              <w:bottom w:val="single" w:sz="6" w:color="D9D9E0"/>
              <w:right w:val="single" w:sz="6" w:color="D9D9E0"/>
            </w:tcBorders>
          </w:tcPr>
          <w:p>
            <w:r>
              <w:t>&gt; 85.0% of doc-answerable tickets</w:t>
            </w:r>
          </w:p>
        </w:tc>
        <w:tc>
          <w:tcPr>
            <w:tcW w:type="dxa" w:w="2016"/>
            <w:tcBorders>
              <w:top w:val="single" w:sz="6" w:color="D9D9E0"/>
              <w:left w:val="single" w:sz="6" w:color="D9D9E0"/>
              <w:bottom w:val="single" w:sz="6" w:color="D9D9E0"/>
              <w:right w:val="single" w:sz="6" w:color="D9D9E0"/>
            </w:tcBorders>
          </w:tcPr>
          <w:p>
            <w:r>
              <w:t>High (71.4% total available)</w:t>
            </w:r>
          </w:p>
        </w:tc>
      </w:tr>
      <w:tr>
        <w:tc>
          <w:tcPr>
            <w:tcW w:type="dxa" w:w="2016"/>
            <w:tcBorders>
              <w:top w:val="single" w:sz="6" w:color="D9D9E0"/>
              <w:left w:val="single" w:sz="6" w:color="D9D9E0"/>
              <w:bottom w:val="single" w:sz="6" w:color="D9D9E0"/>
              <w:right w:val="single" w:sz="6" w:color="D9D9E0"/>
            </w:tcBorders>
            <w:shd w:val="clear" w:fill="F4F4F7"/>
          </w:tcPr>
          <w:p>
            <w:r>
              <w:t>Tier 2 Escalation Context Completeness</w:t>
            </w:r>
          </w:p>
        </w:tc>
        <w:tc>
          <w:tcPr>
            <w:tcW w:type="dxa" w:w="1728"/>
            <w:tcBorders>
              <w:top w:val="single" w:sz="6" w:color="D9D9E0"/>
              <w:left w:val="single" w:sz="6" w:color="D9D9E0"/>
              <w:bottom w:val="single" w:sz="6" w:color="D9D9E0"/>
              <w:right w:val="single" w:sz="6" w:color="D9D9E0"/>
            </w:tcBorders>
            <w:shd w:val="clear" w:fill="F4F4F7"/>
          </w:tcPr>
          <w:p>
            <w:r>
              <w:t>Daniel Okonkwo</w:t>
            </w:r>
          </w:p>
        </w:tc>
        <w:tc>
          <w:tcPr>
            <w:tcW w:type="dxa" w:w="1440"/>
            <w:tcBorders>
              <w:top w:val="single" w:sz="6" w:color="D9D9E0"/>
              <w:left w:val="single" w:sz="6" w:color="D9D9E0"/>
              <w:bottom w:val="single" w:sz="6" w:color="D9D9E0"/>
              <w:right w:val="single" w:sz="6" w:color="D9D9E0"/>
            </w:tcBorders>
            <w:shd w:val="clear" w:fill="F4F4F7"/>
          </w:tcPr>
          <w:p>
            <w:r>
              <w:t>0.0% (raw forward)</w:t>
            </w:r>
          </w:p>
        </w:tc>
        <w:tc>
          <w:tcPr>
            <w:tcW w:type="dxa" w:w="2448"/>
            <w:tcBorders>
              <w:top w:val="single" w:sz="6" w:color="D9D9E0"/>
              <w:left w:val="single" w:sz="6" w:color="D9D9E0"/>
              <w:bottom w:val="single" w:sz="6" w:color="D9D9E0"/>
              <w:right w:val="single" w:sz="6" w:color="D9D9E0"/>
            </w:tcBorders>
            <w:shd w:val="clear" w:fill="F4F4F7"/>
          </w:tcPr>
          <w:p>
            <w:r>
              <w:t>100.0% populated context package</w:t>
            </w:r>
          </w:p>
        </w:tc>
        <w:tc>
          <w:tcPr>
            <w:tcW w:type="dxa" w:w="2016"/>
            <w:tcBorders>
              <w:top w:val="single" w:sz="6" w:color="D9D9E0"/>
              <w:left w:val="single" w:sz="6" w:color="D9D9E0"/>
              <w:bottom w:val="single" w:sz="6" w:color="D9D9E0"/>
              <w:right w:val="single" w:sz="6" w:color="D9D9E0"/>
            </w:tcBorders>
            <w:shd w:val="clear" w:fill="F4F4F7"/>
          </w:tcPr>
          <w:p>
            <w:r>
              <w:t>High (system feature requirement)</w:t>
            </w:r>
          </w:p>
        </w:tc>
      </w:tr>
      <w:tr>
        <w:tc>
          <w:tcPr>
            <w:tcW w:type="dxa" w:w="2016"/>
            <w:tcBorders>
              <w:top w:val="single" w:sz="6" w:color="D9D9E0"/>
              <w:left w:val="single" w:sz="6" w:color="D9D9E0"/>
              <w:bottom w:val="single" w:sz="6" w:color="D9D9E0"/>
              <w:right w:val="single" w:sz="6" w:color="D9D9E0"/>
            </w:tcBorders>
          </w:tcPr>
          <w:p>
            <w:r>
              <w:t>Grounding Accuracy</w:t>
            </w:r>
          </w:p>
        </w:tc>
        <w:tc>
          <w:tcPr>
            <w:tcW w:type="dxa" w:w="1728"/>
            <w:tcBorders>
              <w:top w:val="single" w:sz="6" w:color="D9D9E0"/>
              <w:left w:val="single" w:sz="6" w:color="D9D9E0"/>
              <w:bottom w:val="single" w:sz="6" w:color="D9D9E0"/>
              <w:right w:val="single" w:sz="6" w:color="D9D9E0"/>
            </w:tcBorders>
          </w:tcPr>
          <w:p>
            <w:r>
              <w:t>Ines &amp; Daniel</w:t>
            </w:r>
          </w:p>
        </w:tc>
        <w:tc>
          <w:tcPr>
            <w:tcW w:type="dxa" w:w="1440"/>
            <w:tcBorders>
              <w:top w:val="single" w:sz="6" w:color="D9D9E0"/>
              <w:left w:val="single" w:sz="6" w:color="D9D9E0"/>
              <w:bottom w:val="single" w:sz="6" w:color="D9D9E0"/>
              <w:right w:val="single" w:sz="6" w:color="D9D9E0"/>
            </w:tcBorders>
          </w:tcPr>
          <w:p>
            <w:r>
              <w:t>Unmeasured (hallucinations occur)</w:t>
            </w:r>
          </w:p>
        </w:tc>
        <w:tc>
          <w:tcPr>
            <w:tcW w:type="dxa" w:w="2448"/>
            <w:tcBorders>
              <w:top w:val="single" w:sz="6" w:color="D9D9E0"/>
              <w:left w:val="single" w:sz="6" w:color="D9D9E0"/>
              <w:bottom w:val="single" w:sz="6" w:color="D9D9E0"/>
              <w:right w:val="single" w:sz="6" w:color="D9D9E0"/>
            </w:tcBorders>
          </w:tcPr>
          <w:p>
            <w:r>
              <w:t>100.0% grounded, 0 false claims</w:t>
            </w:r>
          </w:p>
        </w:tc>
        <w:tc>
          <w:tcPr>
            <w:tcW w:type="dxa" w:w="2016"/>
            <w:tcBorders>
              <w:top w:val="single" w:sz="6" w:color="D9D9E0"/>
              <w:left w:val="single" w:sz="6" w:color="D9D9E0"/>
              <w:bottom w:val="single" w:sz="6" w:color="D9D9E0"/>
              <w:right w:val="single" w:sz="6" w:color="D9D9E0"/>
            </w:tcBorders>
          </w:tcPr>
          <w:p>
            <w:r>
              <w:t>High (guardrail enforcement)</w:t>
            </w:r>
          </w:p>
        </w:tc>
      </w:tr>
      <w:tr>
        <w:tc>
          <w:tcPr>
            <w:tcW w:type="dxa" w:w="2016"/>
            <w:tcBorders>
              <w:top w:val="single" w:sz="6" w:color="D9D9E0"/>
              <w:left w:val="single" w:sz="6" w:color="D9D9E0"/>
              <w:bottom w:val="single" w:sz="6" w:color="D9D9E0"/>
              <w:right w:val="single" w:sz="6" w:color="D9D9E0"/>
            </w:tcBorders>
            <w:shd w:val="clear" w:fill="F4F4F7"/>
          </w:tcPr>
          <w:p>
            <w:r>
              <w:t>PII Leakage Rate</w:t>
            </w:r>
          </w:p>
        </w:tc>
        <w:tc>
          <w:tcPr>
            <w:tcW w:type="dxa" w:w="1728"/>
            <w:tcBorders>
              <w:top w:val="single" w:sz="6" w:color="D9D9E0"/>
              <w:left w:val="single" w:sz="6" w:color="D9D9E0"/>
              <w:bottom w:val="single" w:sz="6" w:color="D9D9E0"/>
              <w:right w:val="single" w:sz="6" w:color="D9D9E0"/>
            </w:tcBorders>
            <w:shd w:val="clear" w:fill="F4F4F7"/>
          </w:tcPr>
          <w:p>
            <w:r>
              <w:t>Security / Legal</w:t>
            </w:r>
          </w:p>
        </w:tc>
        <w:tc>
          <w:tcPr>
            <w:tcW w:type="dxa" w:w="1440"/>
            <w:tcBorders>
              <w:top w:val="single" w:sz="6" w:color="D9D9E0"/>
              <w:left w:val="single" w:sz="6" w:color="D9D9E0"/>
              <w:bottom w:val="single" w:sz="6" w:color="D9D9E0"/>
              <w:right w:val="single" w:sz="6" w:color="D9D9E0"/>
            </w:tcBorders>
            <w:shd w:val="clear" w:fill="F4F4F7"/>
          </w:tcPr>
          <w:p>
            <w:r>
              <w:t>Unmeasured</w:t>
            </w:r>
          </w:p>
        </w:tc>
        <w:tc>
          <w:tcPr>
            <w:tcW w:type="dxa" w:w="2448"/>
            <w:tcBorders>
              <w:top w:val="single" w:sz="6" w:color="D9D9E0"/>
              <w:left w:val="single" w:sz="6" w:color="D9D9E0"/>
              <w:bottom w:val="single" w:sz="6" w:color="D9D9E0"/>
              <w:right w:val="single" w:sz="6" w:color="D9D9E0"/>
            </w:tcBorders>
            <w:shd w:val="clear" w:fill="F4F4F7"/>
          </w:tcPr>
          <w:p>
            <w:r>
              <w:t>0.0% leakage</w:t>
            </w:r>
          </w:p>
        </w:tc>
        <w:tc>
          <w:tcPr>
            <w:tcW w:type="dxa" w:w="2016"/>
            <w:tcBorders>
              <w:top w:val="single" w:sz="6" w:color="D9D9E0"/>
              <w:left w:val="single" w:sz="6" w:color="D9D9E0"/>
              <w:bottom w:val="single" w:sz="6" w:color="D9D9E0"/>
              <w:right w:val="single" w:sz="6" w:color="D9D9E0"/>
            </w:tcBorders>
            <w:shd w:val="clear" w:fill="F4F4F7"/>
          </w:tcPr>
          <w:p>
            <w:r>
              <w:t>High (blocking guardrail)</w:t>
            </w:r>
          </w:p>
        </w:tc>
      </w:tr>
      <w:tr>
        <w:tc>
          <w:tcPr>
            <w:tcW w:type="dxa" w:w="2016"/>
            <w:tcBorders>
              <w:top w:val="single" w:sz="6" w:color="D9D9E0"/>
              <w:left w:val="single" w:sz="6" w:color="D9D9E0"/>
              <w:bottom w:val="single" w:sz="6" w:color="D9D9E0"/>
              <w:right w:val="single" w:sz="6" w:color="D9D9E0"/>
            </w:tcBorders>
          </w:tcPr>
          <w:p>
            <w:r>
              <w:t>Customer CSAT Rating</w:t>
            </w:r>
          </w:p>
        </w:tc>
        <w:tc>
          <w:tcPr>
            <w:tcW w:type="dxa" w:w="1728"/>
            <w:tcBorders>
              <w:top w:val="single" w:sz="6" w:color="D9D9E0"/>
              <w:left w:val="single" w:sz="6" w:color="D9D9E0"/>
              <w:bottom w:val="single" w:sz="6" w:color="D9D9E0"/>
              <w:right w:val="single" w:sz="6" w:color="D9D9E0"/>
            </w:tcBorders>
          </w:tcPr>
          <w:p>
            <w:r>
              <w:t>Marcus Adeyemi</w:t>
            </w:r>
          </w:p>
        </w:tc>
        <w:tc>
          <w:tcPr>
            <w:tcW w:type="dxa" w:w="1440"/>
            <w:tcBorders>
              <w:top w:val="single" w:sz="6" w:color="D9D9E0"/>
              <w:left w:val="single" w:sz="6" w:color="D9D9E0"/>
              <w:bottom w:val="single" w:sz="6" w:color="D9D9E0"/>
              <w:right w:val="single" w:sz="6" w:color="D9D9E0"/>
            </w:tcBorders>
          </w:tcPr>
          <w:p>
            <w:r>
              <w:t>2.97 / 5.00</w:t>
            </w:r>
          </w:p>
        </w:tc>
        <w:tc>
          <w:tcPr>
            <w:tcW w:type="dxa" w:w="2448"/>
            <w:tcBorders>
              <w:top w:val="single" w:sz="6" w:color="D9D9E0"/>
              <w:left w:val="single" w:sz="6" w:color="D9D9E0"/>
              <w:bottom w:val="single" w:sz="6" w:color="D9D9E0"/>
              <w:right w:val="single" w:sz="6" w:color="D9D9E0"/>
            </w:tcBorders>
          </w:tcPr>
          <w:p>
            <w:r>
              <w:t>&gt; 4.20 / 5.00</w:t>
            </w:r>
          </w:p>
        </w:tc>
        <w:tc>
          <w:tcPr>
            <w:tcW w:type="dxa" w:w="2016"/>
            <w:tcBorders>
              <w:top w:val="single" w:sz="6" w:color="D9D9E0"/>
              <w:left w:val="single" w:sz="6" w:color="D9D9E0"/>
              <w:bottom w:val="single" w:sz="6" w:color="D9D9E0"/>
              <w:right w:val="single" w:sz="6" w:color="D9D9E0"/>
            </w:tcBorders>
          </w:tcPr>
          <w:p>
            <w:r>
              <w:t>High (dataset baseline)</w:t>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This project will have been worth doing if, within three months of launch, ...</w:t>
            </w:r>
          </w:p>
        </w:tc>
        <w:tc>
          <w:tcPr>
            <w:tcW w:type="dxa" w:w="5904"/>
            <w:tcBorders>
              <w:top w:val="single" w:sz="6" w:color="D9D9E0"/>
              <w:left w:val="single" w:sz="6" w:color="D9D9E0"/>
              <w:bottom w:val="single" w:sz="6" w:color="D9D9E0"/>
              <w:right w:val="single" w:sz="6" w:color="D9D9E0"/>
            </w:tcBorders>
          </w:tcPr>
          <w:p>
            <w:r>
              <w:t>auto-response safely resolves &gt;60% of the 71.4% doc-answerable tickets in &lt;2 minutes while achieving 100% grounding and providing Tier 2 engineers with structured diagnostic context on all escalations.</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7"/>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r>
              <w:t>un-grounded hallucinations emerge, PII is leaked, or customer CSAT drops below the 2.97 baseline.</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7"/>
              </w:rPr>
              <w:t>The measure the client will actually be judged on internally is ...</w:t>
            </w:r>
          </w:p>
        </w:tc>
        <w:tc>
          <w:tcPr>
            <w:tcW w:type="dxa" w:w="5904"/>
            <w:tcBorders>
              <w:top w:val="single" w:sz="6" w:color="D9D9E0"/>
              <w:left w:val="single" w:sz="6" w:color="D9D9E0"/>
              <w:bottom w:val="single" w:sz="6" w:color="D9D9E0"/>
              <w:right w:val="single" w:sz="6" w:color="D9D9E0"/>
            </w:tcBorders>
          </w:tcPr>
          <w:p>
            <w:r>
              <w:t>Support operating cost reduction and CSAT improvement across business and enterprise customer tiers.</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r>
              <w:t>Support Tickets</w:t>
            </w:r>
          </w:p>
        </w:tc>
        <w:tc>
          <w:tcPr>
            <w:tcW w:type="dxa" w:w="2160"/>
            <w:tcBorders>
              <w:top w:val="single" w:sz="6" w:color="D9D9E0"/>
              <w:left w:val="single" w:sz="6" w:color="D9D9E0"/>
              <w:bottom w:val="single" w:sz="6" w:color="D9D9E0"/>
              <w:right w:val="single" w:sz="6" w:color="D9D9E0"/>
            </w:tcBorders>
          </w:tcPr>
          <w:p>
            <w:r>
              <w:t>500 dev &amp; 120 val tickets with text body, channel, urgency, intent, history</w:t>
            </w:r>
          </w:p>
        </w:tc>
        <w:tc>
          <w:tcPr>
            <w:tcW w:type="dxa" w:w="2016"/>
            <w:tcBorders>
              <w:top w:val="single" w:sz="6" w:color="D9D9E0"/>
              <w:left w:val="single" w:sz="6" w:color="D9D9E0"/>
              <w:bottom w:val="single" w:sz="6" w:color="D9D9E0"/>
              <w:right w:val="single" w:sz="6" w:color="D9D9E0"/>
            </w:tcBorders>
          </w:tcPr>
          <w:p>
            <w:r>
              <w:t>High quality structured JSON; raw bodies contain PII and non-fluent phrasing</w:t>
            </w:r>
          </w:p>
        </w:tc>
        <w:tc>
          <w:tcPr>
            <w:tcW w:type="dxa" w:w="1872"/>
            <w:tcBorders>
              <w:top w:val="single" w:sz="6" w:color="D9D9E0"/>
              <w:left w:val="single" w:sz="6" w:color="D9D9E0"/>
              <w:bottom w:val="single" w:sz="6" w:color="D9D9E0"/>
              <w:right w:val="single" w:sz="6" w:color="D9D9E0"/>
            </w:tcBorders>
          </w:tcPr>
          <w:p>
            <w:r>
              <w:t>Read-only dev access</w:t>
            </w:r>
          </w:p>
        </w:tc>
        <w:tc>
          <w:tcPr>
            <w:tcW w:type="dxa" w:w="1872"/>
            <w:tcBorders>
              <w:top w:val="single" w:sz="6" w:color="D9D9E0"/>
              <w:left w:val="single" w:sz="6" w:color="D9D9E0"/>
              <w:bottom w:val="single" w:sz="6" w:color="D9D9E0"/>
              <w:right w:val="single" w:sz="6" w:color="D9D9E0"/>
            </w:tcBorders>
          </w:tcPr>
          <w:p>
            <w:r>
              <w:t>Yes (names, API keys, emails in body)</w:t>
            </w:r>
          </w:p>
        </w:tc>
      </w:tr>
      <w:tr>
        <w:tc>
          <w:tcPr>
            <w:tcW w:type="dxa" w:w="1728"/>
            <w:tcBorders>
              <w:top w:val="single" w:sz="6" w:color="D9D9E0"/>
              <w:left w:val="single" w:sz="6" w:color="D9D9E0"/>
              <w:bottom w:val="single" w:sz="6" w:color="D9D9E0"/>
              <w:right w:val="single" w:sz="6" w:color="D9D9E0"/>
            </w:tcBorders>
            <w:shd w:val="clear" w:fill="F4F4F7"/>
          </w:tcPr>
          <w:p>
            <w:r>
              <w:t>Documentation</w:t>
            </w:r>
          </w:p>
        </w:tc>
        <w:tc>
          <w:tcPr>
            <w:tcW w:type="dxa" w:w="2160"/>
            <w:tcBorders>
              <w:top w:val="single" w:sz="6" w:color="D9D9E0"/>
              <w:left w:val="single" w:sz="6" w:color="D9D9E0"/>
              <w:bottom w:val="single" w:sz="6" w:color="D9D9E0"/>
              <w:right w:val="single" w:sz="6" w:color="D9D9E0"/>
            </w:tcBorders>
            <w:shd w:val="clear" w:fill="F4F4F7"/>
          </w:tcPr>
          <w:p>
            <w:r>
              <w:t>29 reviewed KB articles with titles, categories, and content chunks</w:t>
            </w:r>
          </w:p>
        </w:tc>
        <w:tc>
          <w:tcPr>
            <w:tcW w:type="dxa" w:w="2016"/>
            <w:tcBorders>
              <w:top w:val="single" w:sz="6" w:color="D9D9E0"/>
              <w:left w:val="single" w:sz="6" w:color="D9D9E0"/>
              <w:bottom w:val="single" w:sz="6" w:color="D9D9E0"/>
              <w:right w:val="single" w:sz="6" w:color="D9D9E0"/>
            </w:tcBorders>
            <w:shd w:val="clear" w:fill="F4F4F7"/>
          </w:tcPr>
          <w:p>
            <w:r>
              <w:t>High accuracy; articles updated regularly by Ines</w:t>
            </w:r>
          </w:p>
        </w:tc>
        <w:tc>
          <w:tcPr>
            <w:tcW w:type="dxa" w:w="1872"/>
            <w:tcBorders>
              <w:top w:val="single" w:sz="6" w:color="D9D9E0"/>
              <w:left w:val="single" w:sz="6" w:color="D9D9E0"/>
              <w:bottom w:val="single" w:sz="6" w:color="D9D9E0"/>
              <w:right w:val="single" w:sz="6" w:color="D9D9E0"/>
            </w:tcBorders>
            <w:shd w:val="clear" w:fill="F4F4F7"/>
          </w:tcPr>
          <w:p>
            <w:r>
              <w:t>Read-only access</w:t>
            </w:r>
          </w:p>
        </w:tc>
        <w:tc>
          <w:tcPr>
            <w:tcW w:type="dxa" w:w="1872"/>
            <w:tcBorders>
              <w:top w:val="single" w:sz="6" w:color="D9D9E0"/>
              <w:left w:val="single" w:sz="6" w:color="D9D9E0"/>
              <w:bottom w:val="single" w:sz="6" w:color="D9D9E0"/>
              <w:right w:val="single" w:sz="6" w:color="D9D9E0"/>
            </w:tcBorders>
            <w:shd w:val="clear" w:fill="F4F4F7"/>
          </w:tcPr>
          <w:p>
            <w:r>
              <w:t>No</w:t>
            </w:r>
          </w:p>
        </w:tc>
      </w:tr>
      <w:tr>
        <w:tc>
          <w:tcPr>
            <w:tcW w:type="dxa" w:w="1728"/>
            <w:tcBorders>
              <w:top w:val="single" w:sz="6" w:color="D9D9E0"/>
              <w:left w:val="single" w:sz="6" w:color="D9D9E0"/>
              <w:bottom w:val="single" w:sz="6" w:color="D9D9E0"/>
              <w:right w:val="single" w:sz="6" w:color="D9D9E0"/>
            </w:tcBorders>
          </w:tcPr>
          <w:p>
            <w:r>
              <w:t>Ground Truth Responses</w:t>
            </w:r>
          </w:p>
        </w:tc>
        <w:tc>
          <w:tcPr>
            <w:tcW w:type="dxa" w:w="2160"/>
            <w:tcBorders>
              <w:top w:val="single" w:sz="6" w:color="D9D9E0"/>
              <w:left w:val="single" w:sz="6" w:color="D9D9E0"/>
              <w:bottom w:val="single" w:sz="6" w:color="D9D9E0"/>
              <w:right w:val="single" w:sz="6" w:color="D9D9E0"/>
            </w:tcBorders>
          </w:tcPr>
          <w:p>
            <w:r>
              <w:t>Reference human responses and doc citations</w:t>
            </w:r>
          </w:p>
        </w:tc>
        <w:tc>
          <w:tcPr>
            <w:tcW w:type="dxa" w:w="2016"/>
            <w:tcBorders>
              <w:top w:val="single" w:sz="6" w:color="D9D9E0"/>
              <w:left w:val="single" w:sz="6" w:color="D9D9E0"/>
              <w:bottom w:val="single" w:sz="6" w:color="D9D9E0"/>
              <w:right w:val="single" w:sz="6" w:color="D9D9E0"/>
            </w:tcBorders>
          </w:tcPr>
          <w:p>
            <w:r>
              <w:t>Gold standard for evaluation harness</w:t>
            </w:r>
          </w:p>
        </w:tc>
        <w:tc>
          <w:tcPr>
            <w:tcW w:type="dxa" w:w="1872"/>
            <w:tcBorders>
              <w:top w:val="single" w:sz="6" w:color="D9D9E0"/>
              <w:left w:val="single" w:sz="6" w:color="D9D9E0"/>
              <w:bottom w:val="single" w:sz="6" w:color="D9D9E0"/>
              <w:right w:val="single" w:sz="6" w:color="D9D9E0"/>
            </w:tcBorders>
          </w:tcPr>
          <w:p>
            <w:r>
              <w:t>Evaluation use only</w:t>
            </w:r>
          </w:p>
        </w:tc>
        <w:tc>
          <w:tcPr>
            <w:tcW w:type="dxa" w:w="1872"/>
            <w:tcBorders>
              <w:top w:val="single" w:sz="6" w:color="D9D9E0"/>
              <w:left w:val="single" w:sz="6" w:color="D9D9E0"/>
              <w:bottom w:val="single" w:sz="6" w:color="D9D9E0"/>
              <w:right w:val="single" w:sz="6" w:color="D9D9E0"/>
            </w:tcBorders>
          </w:tcPr>
          <w:p>
            <w:r>
              <w:t>No</w:t>
            </w:r>
          </w:p>
        </w:tc>
      </w:tr>
      <w:tr>
        <w:tc>
          <w:tcPr>
            <w:tcW w:type="dxa" w:w="1728"/>
            <w:tcBorders>
              <w:top w:val="single" w:sz="6" w:color="D9D9E0"/>
              <w:left w:val="single" w:sz="6" w:color="D9D9E0"/>
              <w:bottom w:val="single" w:sz="6" w:color="D9D9E0"/>
              <w:right w:val="single" w:sz="6" w:color="D9D9E0"/>
            </w:tcBorders>
            <w:shd w:val="clear" w:fill="F4F4F7"/>
          </w:tcPr>
          <w:p>
            <w:r>
              <w:t>Customer Records</w:t>
            </w:r>
          </w:p>
        </w:tc>
        <w:tc>
          <w:tcPr>
            <w:tcW w:type="dxa" w:w="2160"/>
            <w:tcBorders>
              <w:top w:val="single" w:sz="6" w:color="D9D9E0"/>
              <w:left w:val="single" w:sz="6" w:color="D9D9E0"/>
              <w:bottom w:val="single" w:sz="6" w:color="D9D9E0"/>
              <w:right w:val="single" w:sz="6" w:color="D9D9E0"/>
            </w:tcBorders>
            <w:shd w:val="clear" w:fill="F4F4F7"/>
          </w:tcPr>
          <w:p>
            <w:r>
              <w:t>Customer ID, Tier (Standard/Business/Enterprise), Region</w:t>
            </w:r>
          </w:p>
        </w:tc>
        <w:tc>
          <w:tcPr>
            <w:tcW w:type="dxa" w:w="2016"/>
            <w:tcBorders>
              <w:top w:val="single" w:sz="6" w:color="D9D9E0"/>
              <w:left w:val="single" w:sz="6" w:color="D9D9E0"/>
              <w:bottom w:val="single" w:sz="6" w:color="D9D9E0"/>
              <w:right w:val="single" w:sz="6" w:color="D9D9E0"/>
            </w:tcBorders>
            <w:shd w:val="clear" w:fill="F4F4F7"/>
          </w:tcPr>
          <w:p>
            <w:r>
              <w:t>Clean metadata</w:t>
            </w:r>
          </w:p>
        </w:tc>
        <w:tc>
          <w:tcPr>
            <w:tcW w:type="dxa" w:w="1872"/>
            <w:tcBorders>
              <w:top w:val="single" w:sz="6" w:color="D9D9E0"/>
              <w:left w:val="single" w:sz="6" w:color="D9D9E0"/>
              <w:bottom w:val="single" w:sz="6" w:color="D9D9E0"/>
              <w:right w:val="single" w:sz="6" w:color="D9D9E0"/>
            </w:tcBorders>
            <w:shd w:val="clear" w:fill="F4F4F7"/>
          </w:tcPr>
          <w:p>
            <w:r>
              <w:t>Internal routing filter</w:t>
            </w:r>
          </w:p>
        </w:tc>
        <w:tc>
          <w:tcPr>
            <w:tcW w:type="dxa" w:w="1872"/>
            <w:tcBorders>
              <w:top w:val="single" w:sz="6" w:color="D9D9E0"/>
              <w:left w:val="single" w:sz="6" w:color="D9D9E0"/>
              <w:bottom w:val="single" w:sz="6" w:color="D9D9E0"/>
              <w:right w:val="single" w:sz="6" w:color="D9D9E0"/>
            </w:tcBorders>
            <w:shd w:val="clear" w:fill="F4F4F7"/>
          </w:tcPr>
          <w:p>
            <w:r>
              <w:t>Customer ID / Name</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r>
              <w:t>System answers confidently and incorrectly (Hallucination)</w:t>
            </w:r>
          </w:p>
        </w:tc>
        <w:tc>
          <w:tcPr>
            <w:tcW w:type="dxa" w:w="1152"/>
            <w:tcBorders>
              <w:top w:val="single" w:sz="6" w:color="D9D9E0"/>
              <w:left w:val="single" w:sz="6" w:color="D9D9E0"/>
              <w:bottom w:val="single" w:sz="6" w:color="D9D9E0"/>
              <w:right w:val="single" w:sz="6" w:color="D9D9E0"/>
            </w:tcBorders>
          </w:tcPr>
          <w:p>
            <w:r>
              <w:t>Medium</w:t>
            </w:r>
          </w:p>
        </w:tc>
        <w:tc>
          <w:tcPr>
            <w:tcW w:type="dxa" w:w="1008"/>
            <w:tcBorders>
              <w:top w:val="single" w:sz="6" w:color="D9D9E0"/>
              <w:left w:val="single" w:sz="6" w:color="D9D9E0"/>
              <w:bottom w:val="single" w:sz="6" w:color="D9D9E0"/>
              <w:right w:val="single" w:sz="6" w:color="D9D9E0"/>
            </w:tcBorders>
          </w:tcPr>
          <w:p>
            <w:r>
              <w:t>Critical</w:t>
            </w:r>
          </w:p>
        </w:tc>
        <w:tc>
          <w:tcPr>
            <w:tcW w:type="dxa" w:w="1728"/>
            <w:tcBorders>
              <w:top w:val="single" w:sz="6" w:color="D9D9E0"/>
              <w:left w:val="single" w:sz="6" w:color="D9D9E0"/>
              <w:bottom w:val="single" w:sz="6" w:color="D9D9E0"/>
              <w:right w:val="single" w:sz="6" w:color="D9D9E0"/>
            </w:tcBorders>
          </w:tcPr>
          <w:p>
            <w:r>
              <w:t>Customer</w:t>
            </w:r>
          </w:p>
        </w:tc>
        <w:tc>
          <w:tcPr>
            <w:tcW w:type="dxa" w:w="3024"/>
            <w:tcBorders>
              <w:top w:val="single" w:sz="6" w:color="D9D9E0"/>
              <w:left w:val="single" w:sz="6" w:color="D9D9E0"/>
              <w:bottom w:val="single" w:sz="6" w:color="D9D9E0"/>
              <w:right w:val="single" w:sz="6" w:color="D9D9E0"/>
            </w:tcBorders>
          </w:tcPr>
          <w:p>
            <w:r>
              <w:t>Mandatory post-generation grounding check against retrieved doc chunks.</w:t>
            </w:r>
          </w:p>
        </w:tc>
      </w:tr>
      <w:tr>
        <w:tc>
          <w:tcPr>
            <w:tcW w:type="dxa" w:w="2736"/>
            <w:tcBorders>
              <w:top w:val="single" w:sz="6" w:color="D9D9E0"/>
              <w:left w:val="single" w:sz="6" w:color="D9D9E0"/>
              <w:bottom w:val="single" w:sz="6" w:color="D9D9E0"/>
              <w:right w:val="single" w:sz="6" w:color="D9D9E0"/>
            </w:tcBorders>
            <w:shd w:val="clear" w:fill="F4F4F7"/>
          </w:tcPr>
          <w:p>
            <w:r>
              <w:t>Private information appears in a reply</w:t>
            </w:r>
          </w:p>
        </w:tc>
        <w:tc>
          <w:tcPr>
            <w:tcW w:type="dxa" w:w="1152"/>
            <w:tcBorders>
              <w:top w:val="single" w:sz="6" w:color="D9D9E0"/>
              <w:left w:val="single" w:sz="6" w:color="D9D9E0"/>
              <w:bottom w:val="single" w:sz="6" w:color="D9D9E0"/>
              <w:right w:val="single" w:sz="6" w:color="D9D9E0"/>
            </w:tcBorders>
            <w:shd w:val="clear" w:fill="F4F4F7"/>
          </w:tcPr>
          <w:p>
            <w:r>
              <w:t>Low</w:t>
            </w:r>
          </w:p>
        </w:tc>
        <w:tc>
          <w:tcPr>
            <w:tcW w:type="dxa" w:w="1008"/>
            <w:tcBorders>
              <w:top w:val="single" w:sz="6" w:color="D9D9E0"/>
              <w:left w:val="single" w:sz="6" w:color="D9D9E0"/>
              <w:bottom w:val="single" w:sz="6" w:color="D9D9E0"/>
              <w:right w:val="single" w:sz="6" w:color="D9D9E0"/>
            </w:tcBorders>
            <w:shd w:val="clear" w:fill="F4F4F7"/>
          </w:tcPr>
          <w:p>
            <w:r>
              <w:t>Critical</w:t>
            </w:r>
          </w:p>
        </w:tc>
        <w:tc>
          <w:tcPr>
            <w:tcW w:type="dxa" w:w="1728"/>
            <w:tcBorders>
              <w:top w:val="single" w:sz="6" w:color="D9D9E0"/>
              <w:left w:val="single" w:sz="6" w:color="D9D9E0"/>
              <w:bottom w:val="single" w:sz="6" w:color="D9D9E0"/>
              <w:right w:val="single" w:sz="6" w:color="D9D9E0"/>
            </w:tcBorders>
            <w:shd w:val="clear" w:fill="F4F4F7"/>
          </w:tcPr>
          <w:p>
            <w:r>
              <w:t>Customer &amp; Legal</w:t>
            </w:r>
          </w:p>
        </w:tc>
        <w:tc>
          <w:tcPr>
            <w:tcW w:type="dxa" w:w="3024"/>
            <w:tcBorders>
              <w:top w:val="single" w:sz="6" w:color="D9D9E0"/>
              <w:left w:val="single" w:sz="6" w:color="D9D9E0"/>
              <w:bottom w:val="single" w:sz="6" w:color="D9D9E0"/>
              <w:right w:val="single" w:sz="6" w:color="D9D9E0"/>
            </w:tcBorders>
            <w:shd w:val="clear" w:fill="F4F4F7"/>
          </w:tcPr>
          <w:p>
            <w:r>
              <w:t>Regex &amp; NER PII detector guardrail before dispatch.</w:t>
            </w:r>
          </w:p>
        </w:tc>
      </w:tr>
      <w:tr>
        <w:tc>
          <w:tcPr>
            <w:tcW w:type="dxa" w:w="2736"/>
            <w:tcBorders>
              <w:top w:val="single" w:sz="6" w:color="D9D9E0"/>
              <w:left w:val="single" w:sz="6" w:color="D9D9E0"/>
              <w:bottom w:val="single" w:sz="6" w:color="D9D9E0"/>
              <w:right w:val="single" w:sz="6" w:color="D9D9E0"/>
            </w:tcBorders>
          </w:tcPr>
          <w:p>
            <w:r>
              <w:t>System makes unauthorized financial/contractual commitments</w:t>
            </w:r>
          </w:p>
        </w:tc>
        <w:tc>
          <w:tcPr>
            <w:tcW w:type="dxa" w:w="1152"/>
            <w:tcBorders>
              <w:top w:val="single" w:sz="6" w:color="D9D9E0"/>
              <w:left w:val="single" w:sz="6" w:color="D9D9E0"/>
              <w:bottom w:val="single" w:sz="6" w:color="D9D9E0"/>
              <w:right w:val="single" w:sz="6" w:color="D9D9E0"/>
            </w:tcBorders>
          </w:tcPr>
          <w:p>
            <w:r>
              <w:t>Medium</w:t>
            </w:r>
          </w:p>
        </w:tc>
        <w:tc>
          <w:tcPr>
            <w:tcW w:type="dxa" w:w="1008"/>
            <w:tcBorders>
              <w:top w:val="single" w:sz="6" w:color="D9D9E0"/>
              <w:left w:val="single" w:sz="6" w:color="D9D9E0"/>
              <w:bottom w:val="single" w:sz="6" w:color="D9D9E0"/>
              <w:right w:val="single" w:sz="6" w:color="D9D9E0"/>
            </w:tcBorders>
          </w:tcPr>
          <w:p>
            <w:r>
              <w:t>High</w:t>
            </w:r>
          </w:p>
        </w:tc>
        <w:tc>
          <w:tcPr>
            <w:tcW w:type="dxa" w:w="1728"/>
            <w:tcBorders>
              <w:top w:val="single" w:sz="6" w:color="D9D9E0"/>
              <w:left w:val="single" w:sz="6" w:color="D9D9E0"/>
              <w:bottom w:val="single" w:sz="6" w:color="D9D9E0"/>
              <w:right w:val="single" w:sz="6" w:color="D9D9E0"/>
            </w:tcBorders>
          </w:tcPr>
          <w:p>
            <w:r>
              <w:t>CloudServe Finance</w:t>
            </w:r>
          </w:p>
        </w:tc>
        <w:tc>
          <w:tcPr>
            <w:tcW w:type="dxa" w:w="3024"/>
            <w:tcBorders>
              <w:top w:val="single" w:sz="6" w:color="D9D9E0"/>
              <w:left w:val="single" w:sz="6" w:color="D9D9E0"/>
              <w:bottom w:val="single" w:sz="6" w:color="D9D9E0"/>
              <w:right w:val="single" w:sz="6" w:color="D9D9E0"/>
            </w:tcBorders>
          </w:tcPr>
          <w:p>
            <w:r>
              <w:t>Block auto-response on billing/refund intents; route to human.</w:t>
            </w:r>
          </w:p>
        </w:tc>
      </w:tr>
      <w:tr>
        <w:tc>
          <w:tcPr>
            <w:tcW w:type="dxa" w:w="2736"/>
            <w:tcBorders>
              <w:top w:val="single" w:sz="6" w:color="D9D9E0"/>
              <w:left w:val="single" w:sz="6" w:color="D9D9E0"/>
              <w:bottom w:val="single" w:sz="6" w:color="D9D9E0"/>
              <w:right w:val="single" w:sz="6" w:color="D9D9E0"/>
            </w:tcBorders>
            <w:shd w:val="clear" w:fill="F4F4F7"/>
          </w:tcPr>
          <w:p>
            <w:r>
              <w:t>Prompt injection overrides system prompt</w:t>
            </w:r>
          </w:p>
        </w:tc>
        <w:tc>
          <w:tcPr>
            <w:tcW w:type="dxa" w:w="1152"/>
            <w:tcBorders>
              <w:top w:val="single" w:sz="6" w:color="D9D9E0"/>
              <w:left w:val="single" w:sz="6" w:color="D9D9E0"/>
              <w:bottom w:val="single" w:sz="6" w:color="D9D9E0"/>
              <w:right w:val="single" w:sz="6" w:color="D9D9E0"/>
            </w:tcBorders>
            <w:shd w:val="clear" w:fill="F4F4F7"/>
          </w:tcPr>
          <w:p>
            <w:r>
              <w:t>Medium</w:t>
            </w:r>
          </w:p>
        </w:tc>
        <w:tc>
          <w:tcPr>
            <w:tcW w:type="dxa" w:w="1008"/>
            <w:tcBorders>
              <w:top w:val="single" w:sz="6" w:color="D9D9E0"/>
              <w:left w:val="single" w:sz="6" w:color="D9D9E0"/>
              <w:bottom w:val="single" w:sz="6" w:color="D9D9E0"/>
              <w:right w:val="single" w:sz="6" w:color="D9D9E0"/>
            </w:tcBorders>
            <w:shd w:val="clear" w:fill="F4F4F7"/>
          </w:tcPr>
          <w:p>
            <w:r>
              <w:t>High</w:t>
            </w:r>
          </w:p>
        </w:tc>
        <w:tc>
          <w:tcPr>
            <w:tcW w:type="dxa" w:w="1728"/>
            <w:tcBorders>
              <w:top w:val="single" w:sz="6" w:color="D9D9E0"/>
              <w:left w:val="single" w:sz="6" w:color="D9D9E0"/>
              <w:bottom w:val="single" w:sz="6" w:color="D9D9E0"/>
              <w:right w:val="single" w:sz="6" w:color="D9D9E0"/>
            </w:tcBorders>
            <w:shd w:val="clear" w:fill="F4F4F7"/>
          </w:tcPr>
          <w:p>
            <w:r>
              <w:t>System Security</w:t>
            </w:r>
          </w:p>
        </w:tc>
        <w:tc>
          <w:tcPr>
            <w:tcW w:type="dxa" w:w="3024"/>
            <w:tcBorders>
              <w:top w:val="single" w:sz="6" w:color="D9D9E0"/>
              <w:left w:val="single" w:sz="6" w:color="D9D9E0"/>
              <w:bottom w:val="single" w:sz="6" w:color="D9D9E0"/>
              <w:right w:val="single" w:sz="6" w:color="D9D9E0"/>
            </w:tcBorders>
            <w:shd w:val="clear" w:fill="F4F4F7"/>
          </w:tcPr>
          <w:p>
            <w:r>
              <w:t>Adversarial prompt injection classifier &amp; input sanitizer.</w:t>
            </w:r>
          </w:p>
        </w:tc>
      </w:tr>
      <w:tr>
        <w:tc>
          <w:tcPr>
            <w:tcW w:type="dxa" w:w="2736"/>
            <w:tcBorders>
              <w:top w:val="single" w:sz="6" w:color="D9D9E0"/>
              <w:left w:val="single" w:sz="6" w:color="D9D9E0"/>
              <w:bottom w:val="single" w:sz="6" w:color="D9D9E0"/>
              <w:right w:val="single" w:sz="6" w:color="D9D9E0"/>
            </w:tcBorders>
          </w:tcPr>
          <w:p>
            <w:r>
              <w:t>Documentation relied on goes out of date</w:t>
            </w:r>
          </w:p>
        </w:tc>
        <w:tc>
          <w:tcPr>
            <w:tcW w:type="dxa" w:w="1152"/>
            <w:tcBorders>
              <w:top w:val="single" w:sz="6" w:color="D9D9E0"/>
              <w:left w:val="single" w:sz="6" w:color="D9D9E0"/>
              <w:bottom w:val="single" w:sz="6" w:color="D9D9E0"/>
              <w:right w:val="single" w:sz="6" w:color="D9D9E0"/>
            </w:tcBorders>
          </w:tcPr>
          <w:p>
            <w:r>
              <w:t>Medium</w:t>
            </w:r>
          </w:p>
        </w:tc>
        <w:tc>
          <w:tcPr>
            <w:tcW w:type="dxa" w:w="1008"/>
            <w:tcBorders>
              <w:top w:val="single" w:sz="6" w:color="D9D9E0"/>
              <w:left w:val="single" w:sz="6" w:color="D9D9E0"/>
              <w:bottom w:val="single" w:sz="6" w:color="D9D9E0"/>
              <w:right w:val="single" w:sz="6" w:color="D9D9E0"/>
            </w:tcBorders>
          </w:tcPr>
          <w:p>
            <w:r>
              <w:t>Medium</w:t>
            </w:r>
          </w:p>
        </w:tc>
        <w:tc>
          <w:tcPr>
            <w:tcW w:type="dxa" w:w="1728"/>
            <w:tcBorders>
              <w:top w:val="single" w:sz="6" w:color="D9D9E0"/>
              <w:left w:val="single" w:sz="6" w:color="D9D9E0"/>
              <w:bottom w:val="single" w:sz="6" w:color="D9D9E0"/>
              <w:right w:val="single" w:sz="6" w:color="D9D9E0"/>
            </w:tcBorders>
          </w:tcPr>
          <w:p>
            <w:r>
              <w:t>Support Ops</w:t>
            </w:r>
          </w:p>
        </w:tc>
        <w:tc>
          <w:tcPr>
            <w:tcW w:type="dxa" w:w="3024"/>
            <w:tcBorders>
              <w:top w:val="single" w:sz="6" w:color="D9D9E0"/>
              <w:left w:val="single" w:sz="6" w:color="D9D9E0"/>
              <w:bottom w:val="single" w:sz="6" w:color="D9D9E0"/>
              <w:right w:val="single" w:sz="6" w:color="D9D9E0"/>
            </w:tcBorders>
          </w:tcPr>
          <w:p>
            <w:r>
              <w:t>Track doc chunk modification timestamps and citation logs.</w:t>
            </w:r>
          </w:p>
        </w:tc>
      </w:tr>
      <w:tr>
        <w:tc>
          <w:tcPr>
            <w:tcW w:type="dxa" w:w="2736"/>
            <w:tcBorders>
              <w:top w:val="single" w:sz="6" w:color="D9D9E0"/>
              <w:left w:val="single" w:sz="6" w:color="D9D9E0"/>
              <w:bottom w:val="single" w:sz="6" w:color="D9D9E0"/>
              <w:right w:val="single" w:sz="6" w:color="D9D9E0"/>
            </w:tcBorders>
            <w:shd w:val="clear" w:fill="F4F4F7"/>
          </w:tcPr>
          <w:p>
            <w:r>
              <w:t>Non-fluent user queries misinterpreted</w:t>
            </w:r>
          </w:p>
        </w:tc>
        <w:tc>
          <w:tcPr>
            <w:tcW w:type="dxa" w:w="1152"/>
            <w:tcBorders>
              <w:top w:val="single" w:sz="6" w:color="D9D9E0"/>
              <w:left w:val="single" w:sz="6" w:color="D9D9E0"/>
              <w:bottom w:val="single" w:sz="6" w:color="D9D9E0"/>
              <w:right w:val="single" w:sz="6" w:color="D9D9E0"/>
            </w:tcBorders>
            <w:shd w:val="clear" w:fill="F4F4F7"/>
          </w:tcPr>
          <w:p>
            <w:r>
              <w:t>Low</w:t>
            </w:r>
          </w:p>
        </w:tc>
        <w:tc>
          <w:tcPr>
            <w:tcW w:type="dxa" w:w="1008"/>
            <w:tcBorders>
              <w:top w:val="single" w:sz="6" w:color="D9D9E0"/>
              <w:left w:val="single" w:sz="6" w:color="D9D9E0"/>
              <w:bottom w:val="single" w:sz="6" w:color="D9D9E0"/>
              <w:right w:val="single" w:sz="6" w:color="D9D9E0"/>
            </w:tcBorders>
            <w:shd w:val="clear" w:fill="F4F4F7"/>
          </w:tcPr>
          <w:p>
            <w:r>
              <w:t>Medium</w:t>
            </w:r>
          </w:p>
        </w:tc>
        <w:tc>
          <w:tcPr>
            <w:tcW w:type="dxa" w:w="1728"/>
            <w:tcBorders>
              <w:top w:val="single" w:sz="6" w:color="D9D9E0"/>
              <w:left w:val="single" w:sz="6" w:color="D9D9E0"/>
              <w:bottom w:val="single" w:sz="6" w:color="D9D9E0"/>
              <w:right w:val="single" w:sz="6" w:color="D9D9E0"/>
            </w:tcBorders>
            <w:shd w:val="clear" w:fill="F4F4F7"/>
          </w:tcPr>
          <w:p>
            <w:r>
              <w:t>Non-fluent customers</w:t>
            </w:r>
          </w:p>
        </w:tc>
        <w:tc>
          <w:tcPr>
            <w:tcW w:type="dxa" w:w="3024"/>
            <w:tcBorders>
              <w:top w:val="single" w:sz="6" w:color="D9D9E0"/>
              <w:left w:val="single" w:sz="6" w:color="D9D9E0"/>
              <w:bottom w:val="single" w:sz="6" w:color="D9D9E0"/>
              <w:right w:val="single" w:sz="6" w:color="D9D9E0"/>
            </w:tcBorders>
            <w:shd w:val="clear" w:fill="F4F4F7"/>
          </w:tcPr>
          <w:p>
            <w:r>
              <w:t>Dense vector semantic search handles multilingual/phrasing variations.</w:t>
            </w:r>
          </w:p>
        </w:tc>
      </w:tr>
      <w:tr>
        <w:tc>
          <w:tcPr>
            <w:tcW w:type="dxa" w:w="2736"/>
            <w:tcBorders>
              <w:top w:val="single" w:sz="6" w:color="D9D9E0"/>
              <w:left w:val="single" w:sz="6" w:color="D9D9E0"/>
              <w:bottom w:val="single" w:sz="6" w:color="D9D9E0"/>
              <w:right w:val="single" w:sz="6" w:color="D9D9E0"/>
            </w:tcBorders>
          </w:tcPr>
          <w:p>
            <w:r>
              <w:t>Escalated tickets lack diagnostic context</w:t>
            </w:r>
          </w:p>
        </w:tc>
        <w:tc>
          <w:tcPr>
            <w:tcW w:type="dxa" w:w="1152"/>
            <w:tcBorders>
              <w:top w:val="single" w:sz="6" w:color="D9D9E0"/>
              <w:left w:val="single" w:sz="6" w:color="D9D9E0"/>
              <w:bottom w:val="single" w:sz="6" w:color="D9D9E0"/>
              <w:right w:val="single" w:sz="6" w:color="D9D9E0"/>
            </w:tcBorders>
          </w:tcPr>
          <w:p>
            <w:r>
              <w:t>High</w:t>
            </w:r>
          </w:p>
        </w:tc>
        <w:tc>
          <w:tcPr>
            <w:tcW w:type="dxa" w:w="1008"/>
            <w:tcBorders>
              <w:top w:val="single" w:sz="6" w:color="D9D9E0"/>
              <w:left w:val="single" w:sz="6" w:color="D9D9E0"/>
              <w:bottom w:val="single" w:sz="6" w:color="D9D9E0"/>
              <w:right w:val="single" w:sz="6" w:color="D9D9E0"/>
            </w:tcBorders>
          </w:tcPr>
          <w:p>
            <w:r>
              <w:t>Medium</w:t>
            </w:r>
          </w:p>
        </w:tc>
        <w:tc>
          <w:tcPr>
            <w:tcW w:type="dxa" w:w="1728"/>
            <w:tcBorders>
              <w:top w:val="single" w:sz="6" w:color="D9D9E0"/>
              <w:left w:val="single" w:sz="6" w:color="D9D9E0"/>
              <w:bottom w:val="single" w:sz="6" w:color="D9D9E0"/>
              <w:right w:val="single" w:sz="6" w:color="D9D9E0"/>
            </w:tcBorders>
          </w:tcPr>
          <w:p>
            <w:r>
              <w:t>Tier 2 Support</w:t>
            </w:r>
          </w:p>
        </w:tc>
        <w:tc>
          <w:tcPr>
            <w:tcW w:type="dxa" w:w="3024"/>
            <w:tcBorders>
              <w:top w:val="single" w:sz="6" w:color="D9D9E0"/>
              <w:left w:val="single" w:sz="6" w:color="D9D9E0"/>
              <w:bottom w:val="single" w:sz="6" w:color="D9D9E0"/>
              <w:right w:val="single" w:sz="6" w:color="D9D9E0"/>
            </w:tcBorders>
          </w:tcPr>
          <w:p>
            <w:r>
              <w:t>Enforce structured escalation payload (intent, docs, reasoning, confidence).</w:t>
            </w:r>
          </w:p>
        </w:tc>
      </w:tr>
      <w:tr>
        <w:tc>
          <w:tcPr>
            <w:tcW w:type="dxa" w:w="2736"/>
            <w:tcBorders>
              <w:top w:val="single" w:sz="6" w:color="D9D9E0"/>
              <w:left w:val="single" w:sz="6" w:color="D9D9E0"/>
              <w:bottom w:val="single" w:sz="6" w:color="D9D9E0"/>
              <w:right w:val="single" w:sz="6" w:color="D9D9E0"/>
            </w:tcBorders>
            <w:shd w:val="clear" w:fill="F4F4F7"/>
          </w:tcPr>
          <w:p>
            <w:r>
              <w:t>High urgency deployment failures delayed</w:t>
            </w:r>
          </w:p>
        </w:tc>
        <w:tc>
          <w:tcPr>
            <w:tcW w:type="dxa" w:w="1152"/>
            <w:tcBorders>
              <w:top w:val="single" w:sz="6" w:color="D9D9E0"/>
              <w:left w:val="single" w:sz="6" w:color="D9D9E0"/>
              <w:bottom w:val="single" w:sz="6" w:color="D9D9E0"/>
              <w:right w:val="single" w:sz="6" w:color="D9D9E0"/>
            </w:tcBorders>
            <w:shd w:val="clear" w:fill="F4F4F7"/>
          </w:tcPr>
          <w:p>
            <w:r>
              <w:t>Medium</w:t>
            </w:r>
          </w:p>
        </w:tc>
        <w:tc>
          <w:tcPr>
            <w:tcW w:type="dxa" w:w="1008"/>
            <w:tcBorders>
              <w:top w:val="single" w:sz="6" w:color="D9D9E0"/>
              <w:left w:val="single" w:sz="6" w:color="D9D9E0"/>
              <w:bottom w:val="single" w:sz="6" w:color="D9D9E0"/>
              <w:right w:val="single" w:sz="6" w:color="D9D9E0"/>
            </w:tcBorders>
            <w:shd w:val="clear" w:fill="F4F4F7"/>
          </w:tcPr>
          <w:p>
            <w:r>
              <w:t>High</w:t>
            </w:r>
          </w:p>
        </w:tc>
        <w:tc>
          <w:tcPr>
            <w:tcW w:type="dxa" w:w="1728"/>
            <w:tcBorders>
              <w:top w:val="single" w:sz="6" w:color="D9D9E0"/>
              <w:left w:val="single" w:sz="6" w:color="D9D9E0"/>
              <w:bottom w:val="single" w:sz="6" w:color="D9D9E0"/>
              <w:right w:val="single" w:sz="6" w:color="D9D9E0"/>
            </w:tcBorders>
            <w:shd w:val="clear" w:fill="F4F4F7"/>
          </w:tcPr>
          <w:p>
            <w:r>
              <w:t>Enterprise Clients</w:t>
            </w:r>
          </w:p>
        </w:tc>
        <w:tc>
          <w:tcPr>
            <w:tcW w:type="dxa" w:w="3024"/>
            <w:tcBorders>
              <w:top w:val="single" w:sz="6" w:color="D9D9E0"/>
              <w:left w:val="single" w:sz="6" w:color="D9D9E0"/>
              <w:bottom w:val="single" w:sz="6" w:color="D9D9E0"/>
              <w:right w:val="single" w:sz="6" w:color="D9D9E0"/>
            </w:tcBorders>
            <w:shd w:val="clear" w:fill="F4F4F7"/>
          </w:tcPr>
          <w:p>
            <w:r>
              <w:t>Priority queue routing for high urgency &amp; enterprise tier tickets.</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r>
              <w:t>What the client asked for</w:t>
            </w:r>
          </w:p>
        </w:tc>
        <w:tc>
          <w:tcPr>
            <w:tcW w:type="dxa" w:w="4320"/>
            <w:tcBorders>
              <w:top w:val="single" w:sz="6" w:color="D9D9E0"/>
              <w:left w:val="single" w:sz="6" w:color="D9D9E0"/>
              <w:bottom w:val="single" w:sz="6" w:color="D9D9E0"/>
              <w:right w:val="single" w:sz="6" w:color="D9D9E0"/>
            </w:tcBorders>
          </w:tcPr>
          <w:p>
            <w:r>
              <w:t>Build a support chatbot to reduce support team workload and lower operating costs.</w:t>
            </w:r>
          </w:p>
        </w:tc>
        <w:tc>
          <w:tcPr>
            <w:tcW w:type="dxa" w:w="2592"/>
            <w:tcBorders>
              <w:top w:val="single" w:sz="6" w:color="D9D9E0"/>
              <w:left w:val="single" w:sz="6" w:color="D9D9E0"/>
              <w:bottom w:val="single" w:sz="6" w:color="D9D9E0"/>
              <w:right w:val="single" w:sz="6" w:color="D9D9E0"/>
            </w:tcBorders>
          </w:tcPr>
          <w:p>
            <w:r>
              <w:t>Section 1, Row 1 (Marcus interview)</w:t>
            </w:r>
          </w:p>
        </w:tc>
      </w:tr>
      <w:tr>
        <w:tc>
          <w:tcPr>
            <w:tcW w:type="dxa" w:w="2736"/>
            <w:tcBorders>
              <w:top w:val="single" w:sz="6" w:color="D9D9E0"/>
              <w:left w:val="single" w:sz="6" w:color="D9D9E0"/>
              <w:bottom w:val="single" w:sz="6" w:color="D9D9E0"/>
              <w:right w:val="single" w:sz="6" w:color="D9D9E0"/>
            </w:tcBorders>
            <w:shd w:val="clear" w:fill="F4F4F7"/>
          </w:tcPr>
          <w:p>
            <w: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r>
              <w:t>A controlled, documentation-grounded automation &amp; routing engine with semantic search, guardrails, and structured escalation context.</w:t>
            </w:r>
          </w:p>
        </w:tc>
        <w:tc>
          <w:tcPr>
            <w:tcW w:type="dxa" w:w="2592"/>
            <w:tcBorders>
              <w:top w:val="single" w:sz="6" w:color="D9D9E0"/>
              <w:left w:val="single" w:sz="6" w:color="D9D9E0"/>
              <w:bottom w:val="single" w:sz="6" w:color="D9D9E0"/>
              <w:right w:val="single" w:sz="6" w:color="D9D9E0"/>
            </w:tcBorders>
            <w:shd w:val="clear" w:fill="F4F4F7"/>
          </w:tcPr>
          <w:p>
            <w:r>
              <w:t>Section 1, Rows 2-5 (All interviews)</w:t>
            </w:r>
          </w:p>
        </w:tc>
      </w:tr>
      <w:tr>
        <w:tc>
          <w:tcPr>
            <w:tcW w:type="dxa" w:w="2736"/>
            <w:tcBorders>
              <w:top w:val="single" w:sz="6" w:color="D9D9E0"/>
              <w:left w:val="single" w:sz="6" w:color="D9D9E0"/>
              <w:bottom w:val="single" w:sz="6" w:color="D9D9E0"/>
              <w:right w:val="single" w:sz="6" w:color="D9D9E0"/>
            </w:tcBorders>
          </w:tcPr>
          <w:p>
            <w:r>
              <w:t>The gap between those two</w:t>
            </w:r>
          </w:p>
        </w:tc>
        <w:tc>
          <w:tcPr>
            <w:tcW w:type="dxa" w:w="4320"/>
            <w:tcBorders>
              <w:top w:val="single" w:sz="6" w:color="D9D9E0"/>
              <w:left w:val="single" w:sz="6" w:color="D9D9E0"/>
              <w:bottom w:val="single" w:sz="6" w:color="D9D9E0"/>
              <w:right w:val="single" w:sz="6" w:color="D9D9E0"/>
            </w:tcBorders>
          </w:tcPr>
          <w:p>
            <w:r>
              <w:t>Client asked for an unconstrained chatbot; evidence shows an ungrounded chatbot creates financial, security, and customer trust risks.</w:t>
            </w:r>
          </w:p>
        </w:tc>
        <w:tc>
          <w:tcPr>
            <w:tcW w:type="dxa" w:w="2592"/>
            <w:tcBorders>
              <w:top w:val="single" w:sz="6" w:color="D9D9E0"/>
              <w:left w:val="single" w:sz="6" w:color="D9D9E0"/>
              <w:bottom w:val="single" w:sz="6" w:color="D9D9E0"/>
              <w:right w:val="single" w:sz="6" w:color="D9D9E0"/>
            </w:tcBorders>
          </w:tcPr>
          <w:p>
            <w:r>
              <w:t>Section 1 Table 3 &amp; Section 2 Table 5</w:t>
            </w:r>
          </w:p>
        </w:tc>
      </w:tr>
      <w:tr>
        <w:tc>
          <w:tcPr>
            <w:tcW w:type="dxa" w:w="2736"/>
            <w:tcBorders>
              <w:top w:val="single" w:sz="6" w:color="D9D9E0"/>
              <w:left w:val="single" w:sz="6" w:color="D9D9E0"/>
              <w:bottom w:val="single" w:sz="6" w:color="D9D9E0"/>
              <w:right w:val="single" w:sz="6" w:color="D9D9E0"/>
            </w:tcBorders>
            <w:shd w:val="clear" w:fill="F4F4F7"/>
          </w:tcPr>
          <w:p>
            <w:r>
              <w:t>Who is affected and how</w:t>
            </w:r>
          </w:p>
        </w:tc>
        <w:tc>
          <w:tcPr>
            <w:tcW w:type="dxa" w:w="4320"/>
            <w:tcBorders>
              <w:top w:val="single" w:sz="6" w:color="D9D9E0"/>
              <w:left w:val="single" w:sz="6" w:color="D9D9E0"/>
              <w:bottom w:val="single" w:sz="6" w:color="D9D9E0"/>
              <w:right w:val="single" w:sz="6" w:color="D9D9E0"/>
            </w:tcBorders>
            <w:shd w:val="clear" w:fill="F4F4F7"/>
          </w:tcPr>
          <w:p>
            <w:r>
              <w:t>Customers suffer long wait times (4+ hrs); Tier 1 agents waste time in doc search; Tier 2 receives context-free escalations.</w:t>
            </w:r>
          </w:p>
        </w:tc>
        <w:tc>
          <w:tcPr>
            <w:tcW w:type="dxa" w:w="2592"/>
            <w:tcBorders>
              <w:top w:val="single" w:sz="6" w:color="D9D9E0"/>
              <w:left w:val="single" w:sz="6" w:color="D9D9E0"/>
              <w:bottom w:val="single" w:sz="6" w:color="D9D9E0"/>
              <w:right w:val="single" w:sz="6" w:color="D9D9E0"/>
            </w:tcBorders>
            <w:shd w:val="clear" w:fill="F4F4F7"/>
          </w:tcPr>
          <w:p>
            <w:r>
              <w:t>Section 3 Table 7 &amp; 8</w:t>
            </w:r>
          </w:p>
        </w:tc>
      </w:tr>
      <w:tr>
        <w:tc>
          <w:tcPr>
            <w:tcW w:type="dxa" w:w="2736"/>
            <w:tcBorders>
              <w:top w:val="single" w:sz="6" w:color="D9D9E0"/>
              <w:left w:val="single" w:sz="6" w:color="D9D9E0"/>
              <w:bottom w:val="single" w:sz="6" w:color="D9D9E0"/>
              <w:right w:val="single" w:sz="6" w:color="D9D9E0"/>
            </w:tcBorders>
          </w:tcPr>
          <w:p>
            <w:r>
              <w:t>What will change if this is solved</w:t>
            </w:r>
          </w:p>
        </w:tc>
        <w:tc>
          <w:tcPr>
            <w:tcW w:type="dxa" w:w="4320"/>
            <w:tcBorders>
              <w:top w:val="single" w:sz="6" w:color="D9D9E0"/>
              <w:left w:val="single" w:sz="6" w:color="D9D9E0"/>
              <w:bottom w:val="single" w:sz="6" w:color="D9D9E0"/>
              <w:right w:val="single" w:sz="6" w:color="D9D9E0"/>
            </w:tcBorders>
          </w:tcPr>
          <w:p>
            <w:r>
              <w:t>71.4% doc-answerable tickets resolved in &lt;2 mins; Tier 2 receives 100% structured diagnostic packages; 0 hallucinations/PII leaks.</w:t>
            </w:r>
          </w:p>
        </w:tc>
        <w:tc>
          <w:tcPr>
            <w:tcW w:type="dxa" w:w="2592"/>
            <w:tcBorders>
              <w:top w:val="single" w:sz="6" w:color="D9D9E0"/>
              <w:left w:val="single" w:sz="6" w:color="D9D9E0"/>
              <w:bottom w:val="single" w:sz="6" w:color="D9D9E0"/>
              <w:right w:val="single" w:sz="6" w:color="D9D9E0"/>
            </w:tcBorders>
          </w:tcPr>
          <w:p>
            <w:r>
              <w:t>Section 4 Table 9 &amp; 10</w:t>
            </w:r>
          </w:p>
        </w:tc>
      </w:tr>
      <w:tr>
        <w:tc>
          <w:tcPr>
            <w:tcW w:type="dxa" w:w="2736"/>
            <w:tcBorders>
              <w:top w:val="single" w:sz="6" w:color="D9D9E0"/>
              <w:left w:val="single" w:sz="6" w:color="D9D9E0"/>
              <w:bottom w:val="single" w:sz="6" w:color="D9D9E0"/>
              <w:right w:val="single" w:sz="6" w:color="D9D9E0"/>
            </w:tcBorders>
            <w:shd w:val="clear" w:fill="F4F4F7"/>
          </w:tcPr>
          <w:p>
            <w: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r>
              <w:t>Autonomous financial refunds, live system state changes, replacing Tier 2 engineering, or modifying core KB docs.</w:t>
            </w:r>
          </w:p>
        </w:tc>
        <w:tc>
          <w:tcPr>
            <w:tcW w:type="dxa" w:w="2592"/>
            <w:tcBorders>
              <w:top w:val="single" w:sz="6" w:color="D9D9E0"/>
              <w:left w:val="single" w:sz="6" w:color="D9D9E0"/>
              <w:bottom w:val="single" w:sz="6" w:color="D9D9E0"/>
              <w:right w:val="single" w:sz="6" w:color="D9D9E0"/>
            </w:tcBorders>
            <w:shd w:val="clear" w:fill="F4F4F7"/>
          </w:tcPr>
          <w:p>
            <w:r>
              <w:t>Section 5 Table 11 &amp; 12</w:t>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r>
              <w:t>PROBLEM STATEMENT: CLOUDSERVE SUPPORT AUTOMATION</w:t>
            </w:r>
          </w:p>
        </w:tc>
      </w:tr>
      <w:tr>
        <w:tc>
          <w:tcPr>
            <w:tcW w:type="dxa" w:w="9648"/>
            <w:tcBorders>
              <w:top w:val="single" w:sz="6" w:color="D9D9E0"/>
              <w:left w:val="single" w:sz="6" w:color="D9D9E0"/>
              <w:bottom w:val="single" w:sz="6" w:color="D9D9E0"/>
              <w:right w:val="single" w:sz="6" w:color="D9D9E0"/>
            </w:tcBorders>
          </w:tcPr>
          <w:p>
            <w:r>
              <w:t>CloudServe Solutions experiences excessive customer response latency (4+ hours) and low first-contact resolution (43.8%) despite 71.4% of incoming tickets being answerable by existing documentation (Table 5 Row 8). This inefficiency stems from keyword search failures that prevent support agents from discovering relevant knowledge base articles (Ines &amp; Sofia transcripts), forcing agents to rely on unverified personal cheat sheets or forward context-free escalations to Tier 2 engineering (Daniel transcript).</w:t>
            </w:r>
          </w:p>
        </w:tc>
      </w:tr>
      <w:tr>
        <w:tc>
          <w:tcPr>
            <w:tcW w:type="dxa" w:w="9648"/>
            <w:tcBorders>
              <w:top w:val="single" w:sz="6" w:color="D9D9E0"/>
              <w:left w:val="single" w:sz="6" w:color="D9D9E0"/>
              <w:bottom w:val="single" w:sz="6" w:color="D9D9E0"/>
              <w:right w:val="single" w:sz="6" w:color="D9D9E0"/>
            </w:tcBorders>
            <w:shd w:val="clear" w:fill="F4F4F7"/>
          </w:tcPr>
          <w:p>
            <w:r>
              <w:t>To solve this, CloudServe requires an automated, documentation-grounded support system that semantically matches customer queries to official documentation, auto-responds to safe requests with explicit citations (Ravi transcript), and escalates high-risk or low-confidence tickets with structured diagnostic context while strictly preventing PII leakage and hallucination (Table 12 Risk Register).</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