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r>
              <w:t>Product Requirements Document — CloudServe Support Automation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r>
              <w:t>1.0 (Baseline Approved)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r>
              <w:t>Forward Deployed AI Engineer</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r>
              <w:t>4 September 2026</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r>
              <w:t>Approved for Implementation</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r>
              <w:t>13 September 2026</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r>
              <w:t>PROBLEM STATEMENT</w:t>
            </w:r>
          </w:p>
        </w:tc>
      </w:tr>
      <w:tr>
        <w:tc>
          <w:tcPr>
            <w:tcW w:type="dxa" w:w="9648"/>
            <w:tcBorders>
              <w:top w:val="single" w:sz="6" w:color="D9D9E0"/>
              <w:left w:val="single" w:sz="6" w:color="D9D9E0"/>
              <w:bottom w:val="single" w:sz="6" w:color="D9D9E0"/>
              <w:right w:val="single" w:sz="6" w:color="D9D9E0"/>
            </w:tcBorders>
          </w:tcPr>
          <w:p>
            <w:r>
              <w:t>CloudServe Solutions experiences excessive customer response latency (4+ hours) and low first-contact resolution (43.8%) despite 71.4% of incoming tickets being answerable by existing documentation (Table 5 Row 8). This inefficiency stems from keyword search failures that prevent support agents from discovering relevant knowledge base articles (Ines &amp; Sofia transcripts), forcing agents to rely on unverified personal cheat sheets or forward context-free escalations to Tier 2 engineering (Daniel transcript).</w:t>
            </w:r>
          </w:p>
        </w:tc>
      </w:tr>
      <w:tr>
        <w:tc>
          <w:tcPr>
            <w:tcW w:type="dxa" w:w="9648"/>
            <w:tcBorders>
              <w:top w:val="single" w:sz="6" w:color="D9D9E0"/>
              <w:left w:val="single" w:sz="6" w:color="D9D9E0"/>
              <w:bottom w:val="single" w:sz="6" w:color="D9D9E0"/>
              <w:right w:val="single" w:sz="6" w:color="D9D9E0"/>
            </w:tcBorders>
            <w:shd w:val="clear" w:fill="F4F4F7"/>
          </w:tcPr>
          <w:p>
            <w:r>
              <w:t>To solve this, CloudServe requires an automated, documentation-grounded support system that semantically matches customer queries to official documentation, auto-responds to safe requests with explicit citations (Ravi transcript), and escalates high-risk or low-confidence tickets with structured diagnostic context while strictly preventing PII leakage and hallucination.</w:t>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r>
              <w:t>Tier 1 Support Agents (Sofia)</w:t>
            </w:r>
          </w:p>
        </w:tc>
        <w:tc>
          <w:tcPr>
            <w:tcW w:type="dxa" w:w="2736"/>
            <w:tcBorders>
              <w:top w:val="single" w:sz="6" w:color="D9D9E0"/>
              <w:left w:val="single" w:sz="6" w:color="D9D9E0"/>
              <w:bottom w:val="single" w:sz="6" w:color="D9D9E0"/>
              <w:right w:val="single" w:sz="6" w:color="D9D9E0"/>
            </w:tcBorders>
          </w:tcPr>
          <w:p>
            <w:r>
              <w:t>Fast access to verified KB articles during ticket triaging</w:t>
            </w:r>
          </w:p>
        </w:tc>
        <w:tc>
          <w:tcPr>
            <w:tcW w:type="dxa" w:w="2448"/>
            <w:tcBorders>
              <w:top w:val="single" w:sz="6" w:color="D9D9E0"/>
              <w:left w:val="single" w:sz="6" w:color="D9D9E0"/>
              <w:bottom w:val="single" w:sz="6" w:color="D9D9E0"/>
              <w:right w:val="single" w:sz="6" w:color="D9D9E0"/>
            </w:tcBorders>
          </w:tcPr>
          <w:p>
            <w:r>
              <w:t>Searching internal KB via title keywords or checking personal cheat sheets</w:t>
            </w:r>
          </w:p>
        </w:tc>
        <w:tc>
          <w:tcPr>
            <w:tcW w:type="dxa" w:w="2448"/>
            <w:tcBorders>
              <w:top w:val="single" w:sz="6" w:color="D9D9E0"/>
              <w:left w:val="single" w:sz="6" w:color="D9D9E0"/>
              <w:bottom w:val="single" w:sz="6" w:color="D9D9E0"/>
              <w:right w:val="single" w:sz="6" w:color="D9D9E0"/>
            </w:tcBorders>
          </w:tcPr>
          <w:p>
            <w:r>
              <w:t>Search time reduced from 10 mins to &lt;5 seconds; elimination of personal cheat sheets</w:t>
            </w:r>
          </w:p>
        </w:tc>
      </w:tr>
      <w:tr>
        <w:tc>
          <w:tcPr>
            <w:tcW w:type="dxa" w:w="2016"/>
            <w:tcBorders>
              <w:top w:val="single" w:sz="6" w:color="D9D9E0"/>
              <w:left w:val="single" w:sz="6" w:color="D9D9E0"/>
              <w:bottom w:val="single" w:sz="6" w:color="D9D9E0"/>
              <w:right w:val="single" w:sz="6" w:color="D9D9E0"/>
            </w:tcBorders>
            <w:shd w:val="clear" w:fill="F4F4F7"/>
          </w:tcPr>
          <w:p>
            <w:r>
              <w:t>Tier 2 Engineers (Daniel)</w:t>
            </w:r>
          </w:p>
        </w:tc>
        <w:tc>
          <w:tcPr>
            <w:tcW w:type="dxa" w:w="2736"/>
            <w:tcBorders>
              <w:top w:val="single" w:sz="6" w:color="D9D9E0"/>
              <w:left w:val="single" w:sz="6" w:color="D9D9E0"/>
              <w:bottom w:val="single" w:sz="6" w:color="D9D9E0"/>
              <w:right w:val="single" w:sz="6" w:color="D9D9E0"/>
            </w:tcBorders>
            <w:shd w:val="clear" w:fill="F4F4F7"/>
          </w:tcPr>
          <w:p>
            <w:r>
              <w:t>Structured escalation packages with intent, docs, reasoning, and confidence score</w:t>
            </w:r>
          </w:p>
        </w:tc>
        <w:tc>
          <w:tcPr>
            <w:tcW w:type="dxa" w:w="2448"/>
            <w:tcBorders>
              <w:top w:val="single" w:sz="6" w:color="D9D9E0"/>
              <w:left w:val="single" w:sz="6" w:color="D9D9E0"/>
              <w:bottom w:val="single" w:sz="6" w:color="D9D9E0"/>
              <w:right w:val="single" w:sz="6" w:color="D9D9E0"/>
            </w:tcBorders>
            <w:shd w:val="clear" w:fill="F4F4F7"/>
          </w:tcPr>
          <w:p>
            <w:r>
              <w:t>Receiving raw forwarded tickets with zero context or history summary</w:t>
            </w:r>
          </w:p>
        </w:tc>
        <w:tc>
          <w:tcPr>
            <w:tcW w:type="dxa" w:w="2448"/>
            <w:tcBorders>
              <w:top w:val="single" w:sz="6" w:color="D9D9E0"/>
              <w:left w:val="single" w:sz="6" w:color="D9D9E0"/>
              <w:bottom w:val="single" w:sz="6" w:color="D9D9E0"/>
              <w:right w:val="single" w:sz="6" w:color="D9D9E0"/>
            </w:tcBorders>
            <w:shd w:val="clear" w:fill="F4F4F7"/>
          </w:tcPr>
          <w:p>
            <w:r>
              <w:t>Zero time spent re-reading threads or re-asking previously answered questions</w:t>
            </w:r>
          </w:p>
        </w:tc>
      </w:tr>
      <w:tr>
        <w:tc>
          <w:tcPr>
            <w:tcW w:type="dxa" w:w="2016"/>
            <w:tcBorders>
              <w:top w:val="single" w:sz="6" w:color="D9D9E0"/>
              <w:left w:val="single" w:sz="6" w:color="D9D9E0"/>
              <w:bottom w:val="single" w:sz="6" w:color="D9D9E0"/>
              <w:right w:val="single" w:sz="6" w:color="D9D9E0"/>
            </w:tcBorders>
          </w:tcPr>
          <w:p>
            <w:r>
              <w:t>Support Management (Marcus)</w:t>
            </w:r>
          </w:p>
        </w:tc>
        <w:tc>
          <w:tcPr>
            <w:tcW w:type="dxa" w:w="2736"/>
            <w:tcBorders>
              <w:top w:val="single" w:sz="6" w:color="D9D9E0"/>
              <w:left w:val="single" w:sz="6" w:color="D9D9E0"/>
              <w:bottom w:val="single" w:sz="6" w:color="D9D9E0"/>
              <w:right w:val="single" w:sz="6" w:color="D9D9E0"/>
            </w:tcBorders>
          </w:tcPr>
          <w:p>
            <w:r>
              <w:t>Higher first contact resolution (&gt;65%) and significantly lower MTTR (&lt;5 mins)</w:t>
            </w:r>
          </w:p>
        </w:tc>
        <w:tc>
          <w:tcPr>
            <w:tcW w:type="dxa" w:w="2448"/>
            <w:tcBorders>
              <w:top w:val="single" w:sz="6" w:color="D9D9E0"/>
              <w:left w:val="single" w:sz="6" w:color="D9D9E0"/>
              <w:bottom w:val="single" w:sz="6" w:color="D9D9E0"/>
              <w:right w:val="single" w:sz="6" w:color="D9D9E0"/>
            </w:tcBorders>
          </w:tcPr>
          <w:p>
            <w:r>
              <w:t>Manually reviewing SLA breaches and high customer churn risks</w:t>
            </w:r>
          </w:p>
        </w:tc>
        <w:tc>
          <w:tcPr>
            <w:tcW w:type="dxa" w:w="2448"/>
            <w:tcBorders>
              <w:top w:val="single" w:sz="6" w:color="D9D9E0"/>
              <w:left w:val="single" w:sz="6" w:color="D9D9E0"/>
              <w:bottom w:val="single" w:sz="6" w:color="D9D9E0"/>
              <w:right w:val="single" w:sz="6" w:color="D9D9E0"/>
            </w:tcBorders>
          </w:tcPr>
          <w:p>
            <w:r>
              <w:t>CSAT increased from 2.97 to &gt;4.20; overall support operational cost reduced</w:t>
            </w:r>
          </w:p>
        </w:tc>
      </w:tr>
      <w:tr>
        <w:tc>
          <w:tcPr>
            <w:tcW w:type="dxa" w:w="2016"/>
            <w:tcBorders>
              <w:top w:val="single" w:sz="6" w:color="D9D9E0"/>
              <w:left w:val="single" w:sz="6" w:color="D9D9E0"/>
              <w:bottom w:val="single" w:sz="6" w:color="D9D9E0"/>
              <w:right w:val="single" w:sz="6" w:color="D9D9E0"/>
            </w:tcBorders>
            <w:shd w:val="clear" w:fill="F4F4F7"/>
          </w:tcPr>
          <w:p>
            <w:r>
              <w:t>CloudServe Customers (Ravi)</w:t>
            </w:r>
          </w:p>
        </w:tc>
        <w:tc>
          <w:tcPr>
            <w:tcW w:type="dxa" w:w="2736"/>
            <w:tcBorders>
              <w:top w:val="single" w:sz="6" w:color="D9D9E0"/>
              <w:left w:val="single" w:sz="6" w:color="D9D9E0"/>
              <w:bottom w:val="single" w:sz="6" w:color="D9D9E0"/>
              <w:right w:val="single" w:sz="6" w:color="D9D9E0"/>
            </w:tcBorders>
            <w:shd w:val="clear" w:fill="F4F4F7"/>
          </w:tcPr>
          <w:p>
            <w:r>
              <w:t>Fast, accurate, machine-labeled auto-responses citing official documentation</w:t>
            </w:r>
          </w:p>
        </w:tc>
        <w:tc>
          <w:tcPr>
            <w:tcW w:type="dxa" w:w="2448"/>
            <w:tcBorders>
              <w:top w:val="single" w:sz="6" w:color="D9D9E0"/>
              <w:left w:val="single" w:sz="6" w:color="D9D9E0"/>
              <w:bottom w:val="single" w:sz="6" w:color="D9D9E0"/>
              <w:right w:val="single" w:sz="6" w:color="D9D9E0"/>
            </w:tcBorders>
            <w:shd w:val="clear" w:fill="F4F4F7"/>
          </w:tcPr>
          <w:p>
            <w:r>
              <w:t>Waiting 4+ hours for simple doc-answerable support questions</w:t>
            </w:r>
          </w:p>
        </w:tc>
        <w:tc>
          <w:tcPr>
            <w:tcW w:type="dxa" w:w="2448"/>
            <w:tcBorders>
              <w:top w:val="single" w:sz="6" w:color="D9D9E0"/>
              <w:left w:val="single" w:sz="6" w:color="D9D9E0"/>
              <w:bottom w:val="single" w:sz="6" w:color="D9D9E0"/>
              <w:right w:val="single" w:sz="6" w:color="D9D9E0"/>
            </w:tcBorders>
            <w:shd w:val="clear" w:fill="F4F4F7"/>
          </w:tcPr>
          <w:p>
            <w:r>
              <w:t>Instant answers for 71.4% doc queries; explicit citation links provided</w:t>
            </w:r>
          </w:p>
        </w:tc>
      </w:tr>
      <w:tr>
        <w:tc>
          <w:tcPr>
            <w:tcW w:type="dxa" w:w="2016"/>
            <w:tcBorders>
              <w:top w:val="single" w:sz="6" w:color="D9D9E0"/>
              <w:left w:val="single" w:sz="6" w:color="D9D9E0"/>
              <w:bottom w:val="single" w:sz="6" w:color="D9D9E0"/>
              <w:right w:val="single" w:sz="6" w:color="D9D9E0"/>
            </w:tcBorders>
          </w:tcPr>
          <w:p>
            <w:r>
              <w:t>Tech Writer (Ines Varga)</w:t>
            </w:r>
          </w:p>
        </w:tc>
        <w:tc>
          <w:tcPr>
            <w:tcW w:type="dxa" w:w="2736"/>
            <w:tcBorders>
              <w:top w:val="single" w:sz="6" w:color="D9D9E0"/>
              <w:left w:val="single" w:sz="6" w:color="D9D9E0"/>
              <w:bottom w:val="single" w:sz="6" w:color="D9D9E0"/>
              <w:right w:val="single" w:sz="6" w:color="D9D9E0"/>
            </w:tcBorders>
          </w:tcPr>
          <w:p>
            <w:r>
              <w:t>Full citation transparency linking responses directly to specific KB articles</w:t>
            </w:r>
          </w:p>
        </w:tc>
        <w:tc>
          <w:tcPr>
            <w:tcW w:type="dxa" w:w="2448"/>
            <w:tcBorders>
              <w:top w:val="single" w:sz="6" w:color="D9D9E0"/>
              <w:left w:val="single" w:sz="6" w:color="D9D9E0"/>
              <w:bottom w:val="single" w:sz="6" w:color="D9D9E0"/>
              <w:right w:val="single" w:sz="6" w:color="D9D9E0"/>
            </w:tcBorders>
          </w:tcPr>
          <w:p>
            <w:r>
              <w:t>No visibility into whether support agents utilize reviewed KB articles</w:t>
            </w:r>
          </w:p>
        </w:tc>
        <w:tc>
          <w:tcPr>
            <w:tcW w:type="dxa" w:w="2448"/>
            <w:tcBorders>
              <w:top w:val="single" w:sz="6" w:color="D9D9E0"/>
              <w:left w:val="single" w:sz="6" w:color="D9D9E0"/>
              <w:bottom w:val="single" w:sz="6" w:color="D9D9E0"/>
              <w:right w:val="single" w:sz="6" w:color="D9D9E0"/>
            </w:tcBorders>
          </w:tcPr>
          <w:p>
            <w:r>
              <w:t>100% citation tracking to monitor KB usage and article quality</w:t>
            </w:r>
          </w:p>
        </w:tc>
      </w:tr>
      <w:tr>
        <w:tc>
          <w:tcPr>
            <w:tcW w:type="dxa" w:w="2016"/>
            <w:tcBorders>
              <w:top w:val="single" w:sz="6" w:color="D9D9E0"/>
              <w:left w:val="single" w:sz="6" w:color="D9D9E0"/>
              <w:bottom w:val="single" w:sz="6" w:color="D9D9E0"/>
              <w:right w:val="single" w:sz="6" w:color="D9D9E0"/>
            </w:tcBorders>
            <w:shd w:val="clear" w:fill="F4F4F7"/>
          </w:tcPr>
          <w:p>
            <w:r>
              <w:t>Security &amp; Legal Team</w:t>
            </w:r>
          </w:p>
        </w:tc>
        <w:tc>
          <w:tcPr>
            <w:tcW w:type="dxa" w:w="2736"/>
            <w:tcBorders>
              <w:top w:val="single" w:sz="6" w:color="D9D9E0"/>
              <w:left w:val="single" w:sz="6" w:color="D9D9E0"/>
              <w:bottom w:val="single" w:sz="6" w:color="D9D9E0"/>
              <w:right w:val="single" w:sz="6" w:color="D9D9E0"/>
            </w:tcBorders>
            <w:shd w:val="clear" w:fill="F4F4F7"/>
          </w:tcPr>
          <w:p>
            <w:r>
              <w:t>Guaranteed isolation of customer PII and zero unauthorized financial commitments</w:t>
            </w:r>
          </w:p>
        </w:tc>
        <w:tc>
          <w:tcPr>
            <w:tcW w:type="dxa" w:w="2448"/>
            <w:tcBorders>
              <w:top w:val="single" w:sz="6" w:color="D9D9E0"/>
              <w:left w:val="single" w:sz="6" w:color="D9D9E0"/>
              <w:bottom w:val="single" w:sz="6" w:color="D9D9E0"/>
              <w:right w:val="single" w:sz="6" w:color="D9D9E0"/>
            </w:tcBorders>
            <w:shd w:val="clear" w:fill="F4F4F7"/>
          </w:tcPr>
          <w:p>
            <w:r>
              <w:t>Relying on manual agent vigilance to catch PII leaks or bad commitments</w:t>
            </w:r>
          </w:p>
        </w:tc>
        <w:tc>
          <w:tcPr>
            <w:tcW w:type="dxa" w:w="2448"/>
            <w:tcBorders>
              <w:top w:val="single" w:sz="6" w:color="D9D9E0"/>
              <w:left w:val="single" w:sz="6" w:color="D9D9E0"/>
              <w:bottom w:val="single" w:sz="6" w:color="D9D9E0"/>
              <w:right w:val="single" w:sz="6" w:color="D9D9E0"/>
            </w:tcBorders>
            <w:shd w:val="clear" w:fill="F4F4F7"/>
          </w:tcPr>
          <w:p>
            <w:r>
              <w:t>Zero PII leak incidents; 100% blocking of billing/commitment auto-responses</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r>
              <w:t>FR-01</w:t>
            </w:r>
          </w:p>
        </w:tc>
        <w:tc>
          <w:tcPr>
            <w:tcW w:type="dxa" w:w="3024"/>
            <w:tcBorders>
              <w:top w:val="single" w:sz="6" w:color="D9D9E0"/>
              <w:left w:val="single" w:sz="6" w:color="D9D9E0"/>
              <w:bottom w:val="single" w:sz="6" w:color="D9D9E0"/>
              <w:right w:val="single" w:sz="6" w:color="D9D9E0"/>
            </w:tcBorders>
          </w:tcPr>
          <w:p>
            <w:r>
              <w:t>Ticket Ingestion &amp; Validation: Ingest JSON support tickets, validate schema integrity, and normalize fields.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Sofia transcript &amp; Table 11</w:t>
            </w:r>
          </w:p>
        </w:tc>
        <w:tc>
          <w:tcPr>
            <w:tcW w:type="dxa" w:w="3024"/>
            <w:tcBorders>
              <w:top w:val="single" w:sz="6" w:color="D9D9E0"/>
              <w:left w:val="single" w:sz="6" w:color="D9D9E0"/>
              <w:bottom w:val="single" w:sz="6" w:color="D9D9E0"/>
              <w:right w:val="single" w:sz="6" w:color="D9D9E0"/>
            </w:tcBorders>
          </w:tcPr>
          <w:p>
            <w:r>
              <w:t>100% valid schema processing; invalid payloads rejected cleanly.</w:t>
            </w:r>
          </w:p>
        </w:tc>
      </w:tr>
      <w:tr>
        <w:tc>
          <w:tcPr>
            <w:tcW w:type="dxa" w:w="792"/>
            <w:tcBorders>
              <w:top w:val="single" w:sz="6" w:color="D9D9E0"/>
              <w:left w:val="single" w:sz="6" w:color="D9D9E0"/>
              <w:bottom w:val="single" w:sz="6" w:color="D9D9E0"/>
              <w:right w:val="single" w:sz="6" w:color="D9D9E0"/>
            </w:tcBorders>
            <w:shd w:val="clear" w:fill="F4F4F7"/>
          </w:tcPr>
          <w:p>
            <w:r>
              <w:t>FR-02</w:t>
            </w:r>
          </w:p>
        </w:tc>
        <w:tc>
          <w:tcPr>
            <w:tcW w:type="dxa" w:w="3024"/>
            <w:tcBorders>
              <w:top w:val="single" w:sz="6" w:color="D9D9E0"/>
              <w:left w:val="single" w:sz="6" w:color="D9D9E0"/>
              <w:bottom w:val="single" w:sz="6" w:color="D9D9E0"/>
              <w:right w:val="single" w:sz="6" w:color="D9D9E0"/>
            </w:tcBorders>
            <w:shd w:val="clear" w:fill="F4F4F7"/>
          </w:tcPr>
          <w:p>
            <w:r>
              <w:t>Intent &amp; Urgency Classification: Classify intent across 22 categories and score urgency using rule fallback.</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Marcus interview &amp; Table 5</w:t>
            </w:r>
          </w:p>
        </w:tc>
        <w:tc>
          <w:tcPr>
            <w:tcW w:type="dxa" w:w="3024"/>
            <w:tcBorders>
              <w:top w:val="single" w:sz="6" w:color="D9D9E0"/>
              <w:left w:val="single" w:sz="6" w:color="D9D9E0"/>
              <w:bottom w:val="single" w:sz="6" w:color="D9D9E0"/>
              <w:right w:val="single" w:sz="6" w:color="D9D9E0"/>
            </w:tcBorders>
            <w:shd w:val="clear" w:fill="F4F4F7"/>
          </w:tcPr>
          <w:p>
            <w:r>
              <w:t>Intent classification accuracy &gt; 85% on benchmark set.</w:t>
            </w:r>
          </w:p>
        </w:tc>
      </w:tr>
      <w:tr>
        <w:tc>
          <w:tcPr>
            <w:tcW w:type="dxa" w:w="792"/>
            <w:tcBorders>
              <w:top w:val="single" w:sz="6" w:color="D9D9E0"/>
              <w:left w:val="single" w:sz="6" w:color="D9D9E0"/>
              <w:bottom w:val="single" w:sz="6" w:color="D9D9E0"/>
              <w:right w:val="single" w:sz="6" w:color="D9D9E0"/>
            </w:tcBorders>
          </w:tcPr>
          <w:p>
            <w:r>
              <w:t>FR-03</w:t>
            </w:r>
          </w:p>
        </w:tc>
        <w:tc>
          <w:tcPr>
            <w:tcW w:type="dxa" w:w="3024"/>
            <w:tcBorders>
              <w:top w:val="single" w:sz="6" w:color="D9D9E0"/>
              <w:left w:val="single" w:sz="6" w:color="D9D9E0"/>
              <w:bottom w:val="single" w:sz="6" w:color="D9D9E0"/>
              <w:right w:val="single" w:sz="6" w:color="D9D9E0"/>
            </w:tcBorders>
          </w:tcPr>
          <w:p>
            <w:r>
              <w:t>Semantic Knowledge Retrieval: Execute dense vector retrieval (Chroma + all-MiniLM-L6-v2) with BM25 fallback.</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Ines &amp; Sofia interviews</w:t>
            </w:r>
          </w:p>
        </w:tc>
        <w:tc>
          <w:tcPr>
            <w:tcW w:type="dxa" w:w="3024"/>
            <w:tcBorders>
              <w:top w:val="single" w:sz="6" w:color="D9D9E0"/>
              <w:left w:val="single" w:sz="6" w:color="D9D9E0"/>
              <w:bottom w:val="single" w:sz="6" w:color="D9D9E0"/>
              <w:right w:val="single" w:sz="6" w:color="D9D9E0"/>
            </w:tcBorders>
          </w:tcPr>
          <w:p>
            <w:r>
              <w:t>Doc retrieval Recall@k=3 &gt; 85% across 29 KB articles.</w:t>
            </w:r>
          </w:p>
        </w:tc>
      </w:tr>
      <w:tr>
        <w:tc>
          <w:tcPr>
            <w:tcW w:type="dxa" w:w="792"/>
            <w:tcBorders>
              <w:top w:val="single" w:sz="6" w:color="D9D9E0"/>
              <w:left w:val="single" w:sz="6" w:color="D9D9E0"/>
              <w:bottom w:val="single" w:sz="6" w:color="D9D9E0"/>
              <w:right w:val="single" w:sz="6" w:color="D9D9E0"/>
            </w:tcBorders>
            <w:shd w:val="clear" w:fill="F4F4F7"/>
          </w:tcPr>
          <w:p>
            <w:r>
              <w:t>FR-04</w:t>
            </w:r>
          </w:p>
        </w:tc>
        <w:tc>
          <w:tcPr>
            <w:tcW w:type="dxa" w:w="3024"/>
            <w:tcBorders>
              <w:top w:val="single" w:sz="6" w:color="D9D9E0"/>
              <w:left w:val="single" w:sz="6" w:color="D9D9E0"/>
              <w:bottom w:val="single" w:sz="6" w:color="D9D9E0"/>
              <w:right w:val="single" w:sz="6" w:color="D9D9E0"/>
            </w:tcBorders>
            <w:shd w:val="clear" w:fill="F4F4F7"/>
          </w:tcPr>
          <w:p>
            <w:r>
              <w:t>Multi-Factor Decision Routing: Route to AUTO_RESPOND, MANUAL_REVIEW, or ESCALATE based on safety &amp; score.</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Daniel &amp; Marcus interviews</w:t>
            </w:r>
          </w:p>
        </w:tc>
        <w:tc>
          <w:tcPr>
            <w:tcW w:type="dxa" w:w="3024"/>
            <w:tcBorders>
              <w:top w:val="single" w:sz="6" w:color="D9D9E0"/>
              <w:left w:val="single" w:sz="6" w:color="D9D9E0"/>
              <w:bottom w:val="single" w:sz="6" w:color="D9D9E0"/>
              <w:right w:val="single" w:sz="6" w:color="D9D9E0"/>
            </w:tcBorders>
            <w:shd w:val="clear" w:fill="F4F4F7"/>
          </w:tcPr>
          <w:p>
            <w:r>
              <w:t>0 safe escalations missed; 100% unsafe tickets routed to human.</w:t>
            </w:r>
          </w:p>
        </w:tc>
      </w:tr>
      <w:tr>
        <w:tc>
          <w:tcPr>
            <w:tcW w:type="dxa" w:w="792"/>
            <w:tcBorders>
              <w:top w:val="single" w:sz="6" w:color="D9D9E0"/>
              <w:left w:val="single" w:sz="6" w:color="D9D9E0"/>
              <w:bottom w:val="single" w:sz="6" w:color="D9D9E0"/>
              <w:right w:val="single" w:sz="6" w:color="D9D9E0"/>
            </w:tcBorders>
          </w:tcPr>
          <w:p>
            <w:r>
              <w:t>FR-05</w:t>
            </w:r>
          </w:p>
        </w:tc>
        <w:tc>
          <w:tcPr>
            <w:tcW w:type="dxa" w:w="3024"/>
            <w:tcBorders>
              <w:top w:val="single" w:sz="6" w:color="D9D9E0"/>
              <w:left w:val="single" w:sz="6" w:color="D9D9E0"/>
              <w:bottom w:val="single" w:sz="6" w:color="D9D9E0"/>
              <w:right w:val="single" w:sz="6" w:color="D9D9E0"/>
            </w:tcBorders>
          </w:tcPr>
          <w:p>
            <w:r>
              <w:t>Grounded Response Generation: Generate responses using retrieved KB chunks with Markdown source citations.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Ravi &amp; Ines interviews</w:t>
            </w:r>
          </w:p>
        </w:tc>
        <w:tc>
          <w:tcPr>
            <w:tcW w:type="dxa" w:w="3024"/>
            <w:tcBorders>
              <w:top w:val="single" w:sz="6" w:color="D9D9E0"/>
              <w:left w:val="single" w:sz="6" w:color="D9D9E0"/>
              <w:bottom w:val="single" w:sz="6" w:color="D9D9E0"/>
              <w:right w:val="single" w:sz="6" w:color="D9D9E0"/>
            </w:tcBorders>
          </w:tcPr>
          <w:p>
            <w:r>
              <w:t>100% generated responses contain explicit article citations.</w:t>
            </w:r>
          </w:p>
        </w:tc>
      </w:tr>
      <w:tr>
        <w:tc>
          <w:tcPr>
            <w:tcW w:type="dxa" w:w="792"/>
            <w:tcBorders>
              <w:top w:val="single" w:sz="6" w:color="D9D9E0"/>
              <w:left w:val="single" w:sz="6" w:color="D9D9E0"/>
              <w:bottom w:val="single" w:sz="6" w:color="D9D9E0"/>
              <w:right w:val="single" w:sz="6" w:color="D9D9E0"/>
            </w:tcBorders>
            <w:shd w:val="clear" w:fill="F4F4F7"/>
          </w:tcPr>
          <w:p>
            <w:r>
              <w:t>FR-06</w:t>
            </w:r>
          </w:p>
        </w:tc>
        <w:tc>
          <w:tcPr>
            <w:tcW w:type="dxa" w:w="3024"/>
            <w:tcBorders>
              <w:top w:val="single" w:sz="6" w:color="D9D9E0"/>
              <w:left w:val="single" w:sz="6" w:color="D9D9E0"/>
              <w:bottom w:val="single" w:sz="6" w:color="D9D9E0"/>
              <w:right w:val="single" w:sz="6" w:color="D9D9E0"/>
            </w:tcBorders>
            <w:shd w:val="clear" w:fill="F4F4F7"/>
          </w:tcPr>
          <w:p>
            <w:r>
              <w:t>Post-Generation Grounding Guardrail: Validate responses against doc chunks using factual overlap checks.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Ravi interview &amp; Risk 1</w:t>
            </w:r>
          </w:p>
        </w:tc>
        <w:tc>
          <w:tcPr>
            <w:tcW w:type="dxa" w:w="3024"/>
            <w:tcBorders>
              <w:top w:val="single" w:sz="6" w:color="D9D9E0"/>
              <w:left w:val="single" w:sz="6" w:color="D9D9E0"/>
              <w:bottom w:val="single" w:sz="6" w:color="D9D9E0"/>
              <w:right w:val="single" w:sz="6" w:color="D9D9E0"/>
            </w:tcBorders>
            <w:shd w:val="clear" w:fill="F4F4F7"/>
          </w:tcPr>
          <w:p>
            <w:r>
              <w:t>0 ungrounded claims or hallucinations allowed through guardrail.</w:t>
            </w:r>
          </w:p>
        </w:tc>
      </w:tr>
      <w:tr>
        <w:tc>
          <w:tcPr>
            <w:tcW w:type="dxa" w:w="792"/>
            <w:tcBorders>
              <w:top w:val="single" w:sz="6" w:color="D9D9E0"/>
              <w:left w:val="single" w:sz="6" w:color="D9D9E0"/>
              <w:bottom w:val="single" w:sz="6" w:color="D9D9E0"/>
              <w:right w:val="single" w:sz="6" w:color="D9D9E0"/>
            </w:tcBorders>
          </w:tcPr>
          <w:p>
            <w:r>
              <w:t>FR-07</w:t>
            </w:r>
          </w:p>
        </w:tc>
        <w:tc>
          <w:tcPr>
            <w:tcW w:type="dxa" w:w="3024"/>
            <w:tcBorders>
              <w:top w:val="single" w:sz="6" w:color="D9D9E0"/>
              <w:left w:val="single" w:sz="6" w:color="D9D9E0"/>
              <w:bottom w:val="single" w:sz="6" w:color="D9D9E0"/>
              <w:right w:val="single" w:sz="6" w:color="D9D9E0"/>
            </w:tcBorders>
          </w:tcPr>
          <w:p>
            <w:r>
              <w:t>PII &amp; Credentials Protection: Scan responses for API keys, passwords, account numbers, and mask/block PII.</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Daniel interview &amp; Risk 2</w:t>
            </w:r>
          </w:p>
        </w:tc>
        <w:tc>
          <w:tcPr>
            <w:tcW w:type="dxa" w:w="3024"/>
            <w:tcBorders>
              <w:top w:val="single" w:sz="6" w:color="D9D9E0"/>
              <w:left w:val="single" w:sz="6" w:color="D9D9E0"/>
              <w:bottom w:val="single" w:sz="6" w:color="D9D9E0"/>
              <w:right w:val="single" w:sz="6" w:color="D9D9E0"/>
            </w:tcBorders>
          </w:tcPr>
          <w:p>
            <w:r>
              <w:t>0 PII leakage occurrences across all evaluation runs.</w:t>
            </w:r>
          </w:p>
        </w:tc>
      </w:tr>
      <w:tr>
        <w:tc>
          <w:tcPr>
            <w:tcW w:type="dxa" w:w="792"/>
            <w:tcBorders>
              <w:top w:val="single" w:sz="6" w:color="D9D9E0"/>
              <w:left w:val="single" w:sz="6" w:color="D9D9E0"/>
              <w:bottom w:val="single" w:sz="6" w:color="D9D9E0"/>
              <w:right w:val="single" w:sz="6" w:color="D9D9E0"/>
            </w:tcBorders>
            <w:shd w:val="clear" w:fill="F4F4F7"/>
          </w:tcPr>
          <w:p>
            <w:r>
              <w:t>FR-08</w:t>
            </w:r>
          </w:p>
        </w:tc>
        <w:tc>
          <w:tcPr>
            <w:tcW w:type="dxa" w:w="3024"/>
            <w:tcBorders>
              <w:top w:val="single" w:sz="6" w:color="D9D9E0"/>
              <w:left w:val="single" w:sz="6" w:color="D9D9E0"/>
              <w:bottom w:val="single" w:sz="6" w:color="D9D9E0"/>
              <w:right w:val="single" w:sz="6" w:color="D9D9E0"/>
            </w:tcBorders>
            <w:shd w:val="clear" w:fill="F4F4F7"/>
          </w:tcPr>
          <w:p>
            <w:r>
              <w:t>Adversarial Injection Defense: Filter input for system prompt override attempts, jailbreaks, and adversarial text.</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Risk 4 &amp; CLAUDE.md Sec 16</w:t>
            </w:r>
          </w:p>
        </w:tc>
        <w:tc>
          <w:tcPr>
            <w:tcW w:type="dxa" w:w="3024"/>
            <w:tcBorders>
              <w:top w:val="single" w:sz="6" w:color="D9D9E0"/>
              <w:left w:val="single" w:sz="6" w:color="D9D9E0"/>
              <w:bottom w:val="single" w:sz="6" w:color="D9D9E0"/>
              <w:right w:val="single" w:sz="6" w:color="D9D9E0"/>
            </w:tcBorders>
            <w:shd w:val="clear" w:fill="F4F4F7"/>
          </w:tcPr>
          <w:p>
            <w:r>
              <w:t>100% adversarial prompt injection attempts detected and blocked.</w:t>
            </w:r>
          </w:p>
        </w:tc>
      </w:tr>
      <w:tr>
        <w:tc>
          <w:tcPr>
            <w:tcW w:type="dxa" w:w="792"/>
            <w:tcBorders>
              <w:top w:val="single" w:sz="6" w:color="D9D9E0"/>
              <w:left w:val="single" w:sz="6" w:color="D9D9E0"/>
              <w:bottom w:val="single" w:sz="6" w:color="D9D9E0"/>
              <w:right w:val="single" w:sz="6" w:color="D9D9E0"/>
            </w:tcBorders>
          </w:tcPr>
          <w:p>
            <w:r>
              <w:t>FR-09</w:t>
            </w:r>
          </w:p>
        </w:tc>
        <w:tc>
          <w:tcPr>
            <w:tcW w:type="dxa" w:w="3024"/>
            <w:tcBorders>
              <w:top w:val="single" w:sz="6" w:color="D9D9E0"/>
              <w:left w:val="single" w:sz="6" w:color="D9D9E0"/>
              <w:bottom w:val="single" w:sz="6" w:color="D9D9E0"/>
              <w:right w:val="single" w:sz="6" w:color="D9D9E0"/>
            </w:tcBorders>
          </w:tcPr>
          <w:p>
            <w:r>
              <w:t>Financial Commitment Block: Route billing, refund, contractual, and SLA queries to human escalation.</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Daniel interview &amp; Risk 3</w:t>
            </w:r>
          </w:p>
        </w:tc>
        <w:tc>
          <w:tcPr>
            <w:tcW w:type="dxa" w:w="3024"/>
            <w:tcBorders>
              <w:top w:val="single" w:sz="6" w:color="D9D9E0"/>
              <w:left w:val="single" w:sz="6" w:color="D9D9E0"/>
              <w:bottom w:val="single" w:sz="6" w:color="D9D9E0"/>
              <w:right w:val="single" w:sz="6" w:color="D9D9E0"/>
            </w:tcBorders>
          </w:tcPr>
          <w:p>
            <w:r>
              <w:t>0 automated responses sent for billing or financial intents.</w:t>
            </w:r>
          </w:p>
        </w:tc>
      </w:tr>
      <w:tr>
        <w:tc>
          <w:tcPr>
            <w:tcW w:type="dxa" w:w="792"/>
            <w:tcBorders>
              <w:top w:val="single" w:sz="6" w:color="D9D9E0"/>
              <w:left w:val="single" w:sz="6" w:color="D9D9E0"/>
              <w:bottom w:val="single" w:sz="6" w:color="D9D9E0"/>
              <w:right w:val="single" w:sz="6" w:color="D9D9E0"/>
            </w:tcBorders>
            <w:shd w:val="clear" w:fill="F4F4F7"/>
          </w:tcPr>
          <w:p>
            <w:r>
              <w:t>FR-10</w:t>
            </w:r>
          </w:p>
        </w:tc>
        <w:tc>
          <w:tcPr>
            <w:tcW w:type="dxa" w:w="3024"/>
            <w:tcBorders>
              <w:top w:val="single" w:sz="6" w:color="D9D9E0"/>
              <w:left w:val="single" w:sz="6" w:color="D9D9E0"/>
              <w:bottom w:val="single" w:sz="6" w:color="D9D9E0"/>
              <w:right w:val="single" w:sz="6" w:color="D9D9E0"/>
            </w:tcBorders>
            <w:shd w:val="clear" w:fill="F4F4F7"/>
          </w:tcPr>
          <w:p>
            <w:r>
              <w:t>Structured Escalation Payload: Construct diagnostic summary (intent, docs, reasoning, confidence) for Tier 2.</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Daniel interview</w:t>
            </w:r>
          </w:p>
        </w:tc>
        <w:tc>
          <w:tcPr>
            <w:tcW w:type="dxa" w:w="3024"/>
            <w:tcBorders>
              <w:top w:val="single" w:sz="6" w:color="D9D9E0"/>
              <w:left w:val="single" w:sz="6" w:color="D9D9E0"/>
              <w:bottom w:val="single" w:sz="6" w:color="D9D9E0"/>
              <w:right w:val="single" w:sz="6" w:color="D9D9E0"/>
            </w:tcBorders>
            <w:shd w:val="clear" w:fill="F4F4F7"/>
          </w:tcPr>
          <w:p>
            <w:r>
              <w:t>100% escalations delivered with complete structured diagnostic package.</w:t>
            </w:r>
          </w:p>
        </w:tc>
      </w:tr>
      <w:tr>
        <w:tc>
          <w:tcPr>
            <w:tcW w:type="dxa" w:w="792"/>
            <w:tcBorders>
              <w:top w:val="single" w:sz="6" w:color="D9D9E0"/>
              <w:left w:val="single" w:sz="6" w:color="D9D9E0"/>
              <w:bottom w:val="single" w:sz="6" w:color="D9D9E0"/>
              <w:right w:val="single" w:sz="6" w:color="D9D9E0"/>
            </w:tcBorders>
          </w:tcPr>
          <w:p>
            <w:r>
              <w:t>FR-11</w:t>
            </w:r>
          </w:p>
        </w:tc>
        <w:tc>
          <w:tcPr>
            <w:tcW w:type="dxa" w:w="3024"/>
            <w:tcBorders>
              <w:top w:val="single" w:sz="6" w:color="D9D9E0"/>
              <w:left w:val="single" w:sz="6" w:color="D9D9E0"/>
              <w:bottom w:val="single" w:sz="6" w:color="D9D9E0"/>
              <w:right w:val="single" w:sz="6" w:color="D9D9E0"/>
            </w:tcBorders>
          </w:tcPr>
          <w:p>
            <w:r>
              <w:t>Persistent Audit Logging: Record input, classification, vector scores, routing, response, and guardrails to SQLite.</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Governance &amp; CLAUDE.md Sec 8</w:t>
            </w:r>
          </w:p>
        </w:tc>
        <w:tc>
          <w:tcPr>
            <w:tcW w:type="dxa" w:w="3024"/>
            <w:tcBorders>
              <w:top w:val="single" w:sz="6" w:color="D9D9E0"/>
              <w:left w:val="single" w:sz="6" w:color="D9D9E0"/>
              <w:bottom w:val="single" w:sz="6" w:color="D9D9E0"/>
              <w:right w:val="single" w:sz="6" w:color="D9D9E0"/>
            </w:tcBorders>
          </w:tcPr>
          <w:p>
            <w:r>
              <w:t>100% auditable log entries written to decision log database.</w:t>
            </w:r>
          </w:p>
        </w:tc>
      </w:tr>
      <w:tr>
        <w:tc>
          <w:tcPr>
            <w:tcW w:type="dxa" w:w="792"/>
            <w:tcBorders>
              <w:top w:val="single" w:sz="6" w:color="D9D9E0"/>
              <w:left w:val="single" w:sz="6" w:color="D9D9E0"/>
              <w:bottom w:val="single" w:sz="6" w:color="D9D9E0"/>
              <w:right w:val="single" w:sz="6" w:color="D9D9E0"/>
            </w:tcBorders>
            <w:shd w:val="clear" w:fill="F4F4F7"/>
          </w:tcPr>
          <w:p>
            <w:r>
              <w:t>FR-12</w:t>
            </w:r>
          </w:p>
        </w:tc>
        <w:tc>
          <w:tcPr>
            <w:tcW w:type="dxa" w:w="3024"/>
            <w:tcBorders>
              <w:top w:val="single" w:sz="6" w:color="D9D9E0"/>
              <w:left w:val="single" w:sz="6" w:color="D9D9E0"/>
              <w:bottom w:val="single" w:sz="6" w:color="D9D9E0"/>
              <w:right w:val="single" w:sz="6" w:color="D9D9E0"/>
            </w:tcBorders>
            <w:shd w:val="clear" w:fill="F4F4F7"/>
          </w:tcPr>
          <w:p>
            <w:r>
              <w:t>Automated Evaluation Harness: Calculate FCR, accuracy, precision, recall, latency, and guardrail block rates.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Marcus interview &amp; Table 9</w:t>
            </w:r>
          </w:p>
        </w:tc>
        <w:tc>
          <w:tcPr>
            <w:tcW w:type="dxa" w:w="3024"/>
            <w:tcBorders>
              <w:top w:val="single" w:sz="6" w:color="D9D9E0"/>
              <w:left w:val="single" w:sz="6" w:color="D9D9E0"/>
              <w:bottom w:val="single" w:sz="6" w:color="D9D9E0"/>
              <w:right w:val="single" w:sz="6" w:color="D9D9E0"/>
            </w:tcBorders>
            <w:shd w:val="clear" w:fill="F4F4F7"/>
          </w:tcPr>
          <w:p>
            <w:r>
              <w:t>Automated generation of markdown and JSON evaluation reports.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r>
              <w:t>NFR-01</w:t>
            </w:r>
          </w:p>
        </w:tc>
        <w:tc>
          <w:tcPr>
            <w:tcW w:type="dxa" w:w="1440"/>
            <w:tcBorders>
              <w:top w:val="single" w:sz="6" w:color="D9D9E0"/>
              <w:left w:val="single" w:sz="6" w:color="D9D9E0"/>
              <w:bottom w:val="single" w:sz="6" w:color="D9D9E0"/>
              <w:right w:val="single" w:sz="6" w:color="D9D9E0"/>
            </w:tcBorders>
          </w:tcPr>
          <w:p>
            <w:r>
              <w:t>Latency Performance</w:t>
            </w:r>
          </w:p>
        </w:tc>
        <w:tc>
          <w:tcPr>
            <w:tcW w:type="dxa" w:w="3600"/>
            <w:tcBorders>
              <w:top w:val="single" w:sz="6" w:color="D9D9E0"/>
              <w:left w:val="single" w:sz="6" w:color="D9D9E0"/>
              <w:bottom w:val="single" w:sz="6" w:color="D9D9E0"/>
              <w:right w:val="single" w:sz="6" w:color="D9D9E0"/>
            </w:tcBorders>
          </w:tcPr>
          <w:p>
            <w:r>
              <w:t>End-to-end processing latency for auto-response must be under 3.0 seconds (p95).</w:t>
            </w:r>
          </w:p>
        </w:tc>
        <w:tc>
          <w:tcPr>
            <w:tcW w:type="dxa" w:w="3600"/>
            <w:tcBorders>
              <w:top w:val="single" w:sz="6" w:color="D9D9E0"/>
              <w:left w:val="single" w:sz="6" w:color="D9D9E0"/>
              <w:bottom w:val="single" w:sz="6" w:color="D9D9E0"/>
              <w:right w:val="single" w:sz="6" w:color="D9D9E0"/>
            </w:tcBorders>
          </w:tcPr>
          <w:p>
            <w:r>
              <w:t>Measured via Pytest benchmark &amp; evaluation harness log timer.</w:t>
            </w:r>
          </w:p>
        </w:tc>
      </w:tr>
      <w:tr>
        <w:tc>
          <w:tcPr>
            <w:tcW w:type="dxa" w:w="1008"/>
            <w:tcBorders>
              <w:top w:val="single" w:sz="6" w:color="D9D9E0"/>
              <w:left w:val="single" w:sz="6" w:color="D9D9E0"/>
              <w:bottom w:val="single" w:sz="6" w:color="D9D9E0"/>
              <w:right w:val="single" w:sz="6" w:color="D9D9E0"/>
            </w:tcBorders>
            <w:shd w:val="clear" w:fill="F4F4F7"/>
          </w:tcPr>
          <w:p>
            <w:r>
              <w:t>NFR-02</w:t>
            </w:r>
          </w:p>
        </w:tc>
        <w:tc>
          <w:tcPr>
            <w:tcW w:type="dxa" w:w="1440"/>
            <w:tcBorders>
              <w:top w:val="single" w:sz="6" w:color="D9D9E0"/>
              <w:left w:val="single" w:sz="6" w:color="D9D9E0"/>
              <w:bottom w:val="single" w:sz="6" w:color="D9D9E0"/>
              <w:right w:val="single" w:sz="6" w:color="D9D9E0"/>
            </w:tcBorders>
            <w:shd w:val="clear" w:fill="F4F4F7"/>
          </w:tcPr>
          <w:p>
            <w:r>
              <w:t>System Availability</w:t>
            </w:r>
          </w:p>
        </w:tc>
        <w:tc>
          <w:tcPr>
            <w:tcW w:type="dxa" w:w="3600"/>
            <w:tcBorders>
              <w:top w:val="single" w:sz="6" w:color="D9D9E0"/>
              <w:left w:val="single" w:sz="6" w:color="D9D9E0"/>
              <w:bottom w:val="single" w:sz="6" w:color="D9D9E0"/>
              <w:right w:val="single" w:sz="6" w:color="D9D9E0"/>
            </w:tcBorders>
            <w:shd w:val="clear" w:fill="F4F4F7"/>
          </w:tcPr>
          <w:p>
            <w:r>
              <w:t>FastAPI service must support 99.9% uptime during operational support hours.</w:t>
            </w:r>
          </w:p>
        </w:tc>
        <w:tc>
          <w:tcPr>
            <w:tcW w:type="dxa" w:w="3600"/>
            <w:tcBorders>
              <w:top w:val="single" w:sz="6" w:color="D9D9E0"/>
              <w:left w:val="single" w:sz="6" w:color="D9D9E0"/>
              <w:bottom w:val="single" w:sz="6" w:color="D9D9E0"/>
              <w:right w:val="single" w:sz="6" w:color="D9D9E0"/>
            </w:tcBorders>
            <w:shd w:val="clear" w:fill="F4F4F7"/>
          </w:tcPr>
          <w:p>
            <w:r>
              <w:t>Verified via API healthcheck endpoint (/health).</w:t>
            </w:r>
          </w:p>
        </w:tc>
      </w:tr>
      <w:tr>
        <w:tc>
          <w:tcPr>
            <w:tcW w:type="dxa" w:w="1008"/>
            <w:tcBorders>
              <w:top w:val="single" w:sz="6" w:color="D9D9E0"/>
              <w:left w:val="single" w:sz="6" w:color="D9D9E0"/>
              <w:bottom w:val="single" w:sz="6" w:color="D9D9E0"/>
              <w:right w:val="single" w:sz="6" w:color="D9D9E0"/>
            </w:tcBorders>
          </w:tcPr>
          <w:p>
            <w:r>
              <w:t>NFR-03</w:t>
            </w:r>
          </w:p>
        </w:tc>
        <w:tc>
          <w:tcPr>
            <w:tcW w:type="dxa" w:w="1440"/>
            <w:tcBorders>
              <w:top w:val="single" w:sz="6" w:color="D9D9E0"/>
              <w:left w:val="single" w:sz="6" w:color="D9D9E0"/>
              <w:bottom w:val="single" w:sz="6" w:color="D9D9E0"/>
              <w:right w:val="single" w:sz="6" w:color="D9D9E0"/>
            </w:tcBorders>
          </w:tcPr>
          <w:p>
            <w:r>
              <w:t>Vector Search Efficiency</w:t>
            </w:r>
          </w:p>
        </w:tc>
        <w:tc>
          <w:tcPr>
            <w:tcW w:type="dxa" w:w="3600"/>
            <w:tcBorders>
              <w:top w:val="single" w:sz="6" w:color="D9D9E0"/>
              <w:left w:val="single" w:sz="6" w:color="D9D9E0"/>
              <w:bottom w:val="single" w:sz="6" w:color="D9D9E0"/>
              <w:right w:val="single" w:sz="6" w:color="D9D9E0"/>
            </w:tcBorders>
          </w:tcPr>
          <w:p>
            <w:r>
              <w:t>Vector similarity search must complete in &lt; 50ms across document chunks.</w:t>
            </w:r>
          </w:p>
        </w:tc>
        <w:tc>
          <w:tcPr>
            <w:tcW w:type="dxa" w:w="3600"/>
            <w:tcBorders>
              <w:top w:val="single" w:sz="6" w:color="D9D9E0"/>
              <w:left w:val="single" w:sz="6" w:color="D9D9E0"/>
              <w:bottom w:val="single" w:sz="6" w:color="D9D9E0"/>
              <w:right w:val="single" w:sz="6" w:color="D9D9E0"/>
            </w:tcBorders>
          </w:tcPr>
          <w:p>
            <w:r>
              <w:t>Benchmarked using Chroma search execution logs.</w:t>
            </w:r>
          </w:p>
        </w:tc>
      </w:tr>
      <w:tr>
        <w:tc>
          <w:tcPr>
            <w:tcW w:type="dxa" w:w="1008"/>
            <w:tcBorders>
              <w:top w:val="single" w:sz="6" w:color="D9D9E0"/>
              <w:left w:val="single" w:sz="6" w:color="D9D9E0"/>
              <w:bottom w:val="single" w:sz="6" w:color="D9D9E0"/>
              <w:right w:val="single" w:sz="6" w:color="D9D9E0"/>
            </w:tcBorders>
            <w:shd w:val="clear" w:fill="F4F4F7"/>
          </w:tcPr>
          <w:p>
            <w:r>
              <w:t>NFR-04</w:t>
            </w:r>
          </w:p>
        </w:tc>
        <w:tc>
          <w:tcPr>
            <w:tcW w:type="dxa" w:w="1440"/>
            <w:tcBorders>
              <w:top w:val="single" w:sz="6" w:color="D9D9E0"/>
              <w:left w:val="single" w:sz="6" w:color="D9D9E0"/>
              <w:bottom w:val="single" w:sz="6" w:color="D9D9E0"/>
              <w:right w:val="single" w:sz="6" w:color="D9D9E0"/>
            </w:tcBorders>
            <w:shd w:val="clear" w:fill="F4F4F7"/>
          </w:tcPr>
          <w:p>
            <w:r>
              <w:t>Security &amp; Secret Isolation</w:t>
            </w:r>
          </w:p>
        </w:tc>
        <w:tc>
          <w:tcPr>
            <w:tcW w:type="dxa" w:w="3600"/>
            <w:tcBorders>
              <w:top w:val="single" w:sz="6" w:color="D9D9E0"/>
              <w:left w:val="single" w:sz="6" w:color="D9D9E0"/>
              <w:bottom w:val="single" w:sz="6" w:color="D9D9E0"/>
              <w:right w:val="single" w:sz="6" w:color="D9D9E0"/>
            </w:tcBorders>
            <w:shd w:val="clear" w:fill="F4F4F7"/>
          </w:tcPr>
          <w:p>
            <w:r>
              <w:t>API keys and credentials must never be stored in code or exposed in logs.</w:t>
            </w:r>
          </w:p>
        </w:tc>
        <w:tc>
          <w:tcPr>
            <w:tcW w:type="dxa" w:w="3600"/>
            <w:tcBorders>
              <w:top w:val="single" w:sz="6" w:color="D9D9E0"/>
              <w:left w:val="single" w:sz="6" w:color="D9D9E0"/>
              <w:bottom w:val="single" w:sz="6" w:color="D9D9E0"/>
              <w:right w:val="single" w:sz="6" w:color="D9D9E0"/>
            </w:tcBorders>
            <w:shd w:val="clear" w:fill="F4F4F7"/>
          </w:tcPr>
          <w:p>
            <w:r>
              <w:t>Automated static analysis &amp; regex check on SQLite log entries.</w:t>
            </w:r>
          </w:p>
        </w:tc>
      </w:tr>
      <w:tr>
        <w:tc>
          <w:tcPr>
            <w:tcW w:type="dxa" w:w="1008"/>
            <w:tcBorders>
              <w:top w:val="single" w:sz="6" w:color="D9D9E0"/>
              <w:left w:val="single" w:sz="6" w:color="D9D9E0"/>
              <w:bottom w:val="single" w:sz="6" w:color="D9D9E0"/>
              <w:right w:val="single" w:sz="6" w:color="D9D9E0"/>
            </w:tcBorders>
          </w:tcPr>
          <w:p>
            <w:r>
              <w:t>NFR-05</w:t>
            </w:r>
          </w:p>
        </w:tc>
        <w:tc>
          <w:tcPr>
            <w:tcW w:type="dxa" w:w="1440"/>
            <w:tcBorders>
              <w:top w:val="single" w:sz="6" w:color="D9D9E0"/>
              <w:left w:val="single" w:sz="6" w:color="D9D9E0"/>
              <w:bottom w:val="single" w:sz="6" w:color="D9D9E0"/>
              <w:right w:val="single" w:sz="6" w:color="D9D9E0"/>
            </w:tcBorders>
          </w:tcPr>
          <w:p>
            <w:r>
              <w:t>Test Suite Coverage</w:t>
            </w:r>
          </w:p>
        </w:tc>
        <w:tc>
          <w:tcPr>
            <w:tcW w:type="dxa" w:w="3600"/>
            <w:tcBorders>
              <w:top w:val="single" w:sz="6" w:color="D9D9E0"/>
              <w:left w:val="single" w:sz="6" w:color="D9D9E0"/>
              <w:bottom w:val="single" w:sz="6" w:color="D9D9E0"/>
              <w:right w:val="single" w:sz="6" w:color="D9D9E0"/>
            </w:tcBorders>
          </w:tcPr>
          <w:p>
            <w:r>
              <w:t>Pipeline code in src/ must maintain &gt; 90% unit &amp; integration test coverage.</w:t>
            </w:r>
          </w:p>
        </w:tc>
        <w:tc>
          <w:tcPr>
            <w:tcW w:type="dxa" w:w="3600"/>
            <w:tcBorders>
              <w:top w:val="single" w:sz="6" w:color="D9D9E0"/>
              <w:left w:val="single" w:sz="6" w:color="D9D9E0"/>
              <w:bottom w:val="single" w:sz="6" w:color="D9D9E0"/>
              <w:right w:val="single" w:sz="6" w:color="D9D9E0"/>
            </w:tcBorders>
          </w:tcPr>
          <w:p>
            <w:r>
              <w:t>Measured using pytest-cov test suite runner.</w:t>
            </w:r>
          </w:p>
        </w:tc>
      </w:tr>
      <w:tr>
        <w:tc>
          <w:tcPr>
            <w:tcW w:type="dxa" w:w="1008"/>
            <w:tcBorders>
              <w:top w:val="single" w:sz="6" w:color="D9D9E0"/>
              <w:left w:val="single" w:sz="6" w:color="D9D9E0"/>
              <w:bottom w:val="single" w:sz="6" w:color="D9D9E0"/>
              <w:right w:val="single" w:sz="6" w:color="D9D9E0"/>
            </w:tcBorders>
            <w:shd w:val="clear" w:fill="F4F4F7"/>
          </w:tcPr>
          <w:p>
            <w:r>
              <w:t>NFR-06</w:t>
            </w:r>
          </w:p>
        </w:tc>
        <w:tc>
          <w:tcPr>
            <w:tcW w:type="dxa" w:w="1440"/>
            <w:tcBorders>
              <w:top w:val="single" w:sz="6" w:color="D9D9E0"/>
              <w:left w:val="single" w:sz="6" w:color="D9D9E0"/>
              <w:bottom w:val="single" w:sz="6" w:color="D9D9E0"/>
              <w:right w:val="single" w:sz="6" w:color="D9D9E0"/>
            </w:tcBorders>
            <w:shd w:val="clear" w:fill="F4F4F7"/>
          </w:tcPr>
          <w:p>
            <w:r>
              <w:t>Auditability &amp; Traceability</w:t>
            </w:r>
          </w:p>
        </w:tc>
        <w:tc>
          <w:tcPr>
            <w:tcW w:type="dxa" w:w="3600"/>
            <w:tcBorders>
              <w:top w:val="single" w:sz="6" w:color="D9D9E0"/>
              <w:left w:val="single" w:sz="6" w:color="D9D9E0"/>
              <w:bottom w:val="single" w:sz="6" w:color="D9D9E0"/>
              <w:right w:val="single" w:sz="6" w:color="D9D9E0"/>
            </w:tcBorders>
            <w:shd w:val="clear" w:fill="F4F4F7"/>
          </w:tcPr>
          <w:p>
            <w:r>
              <w:t>Every response must link to SQLite decision ID and specific doc chunk IDs.</w:t>
            </w:r>
          </w:p>
        </w:tc>
        <w:tc>
          <w:tcPr>
            <w:tcW w:type="dxa" w:w="3600"/>
            <w:tcBorders>
              <w:top w:val="single" w:sz="6" w:color="D9D9E0"/>
              <w:left w:val="single" w:sz="6" w:color="D9D9E0"/>
              <w:bottom w:val="single" w:sz="6" w:color="D9D9E0"/>
              <w:right w:val="single" w:sz="6" w:color="D9D9E0"/>
            </w:tcBorders>
            <w:shd w:val="clear" w:fill="F4F4F7"/>
          </w:tcPr>
          <w:p>
            <w:r>
              <w:t>Verified by checking decision log foreign key integrity.</w:t>
            </w:r>
          </w:p>
        </w:tc>
      </w:tr>
      <w:tr>
        <w:tc>
          <w:tcPr>
            <w:tcW w:type="dxa" w:w="1008"/>
            <w:tcBorders>
              <w:top w:val="single" w:sz="6" w:color="D9D9E0"/>
              <w:left w:val="single" w:sz="6" w:color="D9D9E0"/>
              <w:bottom w:val="single" w:sz="6" w:color="D9D9E0"/>
              <w:right w:val="single" w:sz="6" w:color="D9D9E0"/>
            </w:tcBorders>
          </w:tcPr>
          <w:p>
            <w:r>
              <w:t>NFR-07</w:t>
            </w:r>
          </w:p>
        </w:tc>
        <w:tc>
          <w:tcPr>
            <w:tcW w:type="dxa" w:w="1440"/>
            <w:tcBorders>
              <w:top w:val="single" w:sz="6" w:color="D9D9E0"/>
              <w:left w:val="single" w:sz="6" w:color="D9D9E0"/>
              <w:bottom w:val="single" w:sz="6" w:color="D9D9E0"/>
              <w:right w:val="single" w:sz="6" w:color="D9D9E0"/>
            </w:tcBorders>
          </w:tcPr>
          <w:p>
            <w:r>
              <w:t>Data Privacy Compliance</w:t>
            </w:r>
          </w:p>
        </w:tc>
        <w:tc>
          <w:tcPr>
            <w:tcW w:type="dxa" w:w="3600"/>
            <w:tcBorders>
              <w:top w:val="single" w:sz="6" w:color="D9D9E0"/>
              <w:left w:val="single" w:sz="6" w:color="D9D9E0"/>
              <w:bottom w:val="single" w:sz="6" w:color="D9D9E0"/>
              <w:right w:val="single" w:sz="6" w:color="D9D9E0"/>
            </w:tcBorders>
          </w:tcPr>
          <w:p>
            <w:r>
              <w:t>PII detection must comply with GDPR / CCPA data masking specifications.</w:t>
            </w:r>
          </w:p>
        </w:tc>
        <w:tc>
          <w:tcPr>
            <w:tcW w:type="dxa" w:w="3600"/>
            <w:tcBorders>
              <w:top w:val="single" w:sz="6" w:color="D9D9E0"/>
              <w:left w:val="single" w:sz="6" w:color="D9D9E0"/>
              <w:bottom w:val="single" w:sz="6" w:color="D9D9E0"/>
              <w:right w:val="single" w:sz="6" w:color="D9D9E0"/>
            </w:tcBorders>
          </w:tcPr>
          <w:p>
            <w:r>
              <w:t>Validated using synthetic PII test injection suite.</w:t>
            </w:r>
          </w:p>
        </w:tc>
      </w:tr>
      <w:tr>
        <w:tc>
          <w:tcPr>
            <w:tcW w:type="dxa" w:w="1008"/>
            <w:tcBorders>
              <w:top w:val="single" w:sz="6" w:color="D9D9E0"/>
              <w:left w:val="single" w:sz="6" w:color="D9D9E0"/>
              <w:bottom w:val="single" w:sz="6" w:color="D9D9E0"/>
              <w:right w:val="single" w:sz="6" w:color="D9D9E0"/>
            </w:tcBorders>
            <w:shd w:val="clear" w:fill="F4F4F7"/>
          </w:tcPr>
          <w:p>
            <w:r>
              <w:t>NFR-08</w:t>
            </w:r>
          </w:p>
        </w:tc>
        <w:tc>
          <w:tcPr>
            <w:tcW w:type="dxa" w:w="1440"/>
            <w:tcBorders>
              <w:top w:val="single" w:sz="6" w:color="D9D9E0"/>
              <w:left w:val="single" w:sz="6" w:color="D9D9E0"/>
              <w:bottom w:val="single" w:sz="6" w:color="D9D9E0"/>
              <w:right w:val="single" w:sz="6" w:color="D9D9E0"/>
            </w:tcBorders>
            <w:shd w:val="clear" w:fill="F4F4F7"/>
          </w:tcPr>
          <w:p>
            <w:r>
              <w:t>Language Robustness</w:t>
            </w:r>
          </w:p>
        </w:tc>
        <w:tc>
          <w:tcPr>
            <w:tcW w:type="dxa" w:w="3600"/>
            <w:tcBorders>
              <w:top w:val="single" w:sz="6" w:color="D9D9E0"/>
              <w:left w:val="single" w:sz="6" w:color="D9D9E0"/>
              <w:bottom w:val="single" w:sz="6" w:color="D9D9E0"/>
              <w:right w:val="single" w:sz="6" w:color="D9D9E0"/>
            </w:tcBorders>
            <w:shd w:val="clear" w:fill="F4F4F7"/>
          </w:tcPr>
          <w:p>
            <w:r>
              <w:t>Non-fluent English text must achieve &gt; 80% intent classification accuracy.</w:t>
            </w:r>
          </w:p>
        </w:tc>
        <w:tc>
          <w:tcPr>
            <w:tcW w:type="dxa" w:w="3600"/>
            <w:tcBorders>
              <w:top w:val="single" w:sz="6" w:color="D9D9E0"/>
              <w:left w:val="single" w:sz="6" w:color="D9D9E0"/>
              <w:bottom w:val="single" w:sz="6" w:color="D9D9E0"/>
              <w:right w:val="single" w:sz="6" w:color="D9D9E0"/>
            </w:tcBorders>
            <w:shd w:val="clear" w:fill="F4F4F7"/>
          </w:tcPr>
          <w:p>
            <w:r>
              <w:t>Tested against 120 non-fluent tickets in development set.</w:t>
            </w:r>
          </w:p>
        </w:tc>
      </w:tr>
      <w:tr>
        <w:tc>
          <w:tcPr>
            <w:tcW w:type="dxa" w:w="1008"/>
            <w:tcBorders>
              <w:top w:val="single" w:sz="6" w:color="D9D9E0"/>
              <w:left w:val="single" w:sz="6" w:color="D9D9E0"/>
              <w:bottom w:val="single" w:sz="6" w:color="D9D9E0"/>
              <w:right w:val="single" w:sz="6" w:color="D9D9E0"/>
            </w:tcBorders>
          </w:tcPr>
          <w:p>
            <w:r>
              <w:t>NFR-09</w:t>
            </w:r>
          </w:p>
        </w:tc>
        <w:tc>
          <w:tcPr>
            <w:tcW w:type="dxa" w:w="1440"/>
            <w:tcBorders>
              <w:top w:val="single" w:sz="6" w:color="D9D9E0"/>
              <w:left w:val="single" w:sz="6" w:color="D9D9E0"/>
              <w:bottom w:val="single" w:sz="6" w:color="D9D9E0"/>
              <w:right w:val="single" w:sz="6" w:color="D9D9E0"/>
            </w:tcBorders>
          </w:tcPr>
          <w:p>
            <w:r>
              <w:t>Local Infrastructure</w:t>
            </w:r>
          </w:p>
        </w:tc>
        <w:tc>
          <w:tcPr>
            <w:tcW w:type="dxa" w:w="3600"/>
            <w:tcBorders>
              <w:top w:val="single" w:sz="6" w:color="D9D9E0"/>
              <w:left w:val="single" w:sz="6" w:color="D9D9E0"/>
              <w:bottom w:val="single" w:sz="6" w:color="D9D9E0"/>
              <w:right w:val="single" w:sz="6" w:color="D9D9E0"/>
            </w:tcBorders>
          </w:tcPr>
          <w:p>
            <w:r>
              <w:t>Pipeline must execute locally with Chroma and SQLite without external services.</w:t>
            </w:r>
          </w:p>
        </w:tc>
        <w:tc>
          <w:tcPr>
            <w:tcW w:type="dxa" w:w="3600"/>
            <w:tcBorders>
              <w:top w:val="single" w:sz="6" w:color="D9D9E0"/>
              <w:left w:val="single" w:sz="6" w:color="D9D9E0"/>
              <w:bottom w:val="single" w:sz="6" w:color="D9D9E0"/>
              <w:right w:val="single" w:sz="6" w:color="D9D9E0"/>
            </w:tcBorders>
          </w:tcPr>
          <w:p>
            <w:r>
              <w:t>Validated in standalone isolated execution environment.</w:t>
            </w:r>
          </w:p>
        </w:tc>
      </w:tr>
      <w:tr>
        <w:tc>
          <w:tcPr>
            <w:tcW w:type="dxa" w:w="1008"/>
            <w:tcBorders>
              <w:top w:val="single" w:sz="6" w:color="D9D9E0"/>
              <w:left w:val="single" w:sz="6" w:color="D9D9E0"/>
              <w:bottom w:val="single" w:sz="6" w:color="D9D9E0"/>
              <w:right w:val="single" w:sz="6" w:color="D9D9E0"/>
            </w:tcBorders>
            <w:shd w:val="clear" w:fill="F4F4F7"/>
          </w:tcPr>
          <w:p>
            <w:r>
              <w:t>NFR-10</w:t>
            </w:r>
          </w:p>
        </w:tc>
        <w:tc>
          <w:tcPr>
            <w:tcW w:type="dxa" w:w="1440"/>
            <w:tcBorders>
              <w:top w:val="single" w:sz="6" w:color="D9D9E0"/>
              <w:left w:val="single" w:sz="6" w:color="D9D9E0"/>
              <w:bottom w:val="single" w:sz="6" w:color="D9D9E0"/>
              <w:right w:val="single" w:sz="6" w:color="D9D9E0"/>
            </w:tcBorders>
            <w:shd w:val="clear" w:fill="F4F4F7"/>
          </w:tcPr>
          <w:p>
            <w:r>
              <w:t>Modular Maintainability</w:t>
            </w:r>
          </w:p>
        </w:tc>
        <w:tc>
          <w:tcPr>
            <w:tcW w:type="dxa" w:w="3600"/>
            <w:tcBorders>
              <w:top w:val="single" w:sz="6" w:color="D9D9E0"/>
              <w:left w:val="single" w:sz="6" w:color="D9D9E0"/>
              <w:bottom w:val="single" w:sz="6" w:color="D9D9E0"/>
              <w:right w:val="single" w:sz="6" w:color="D9D9E0"/>
            </w:tcBorders>
            <w:shd w:val="clear" w:fill="F4F4F7"/>
          </w:tcPr>
          <w:p>
            <w:r>
              <w:t>Architecture must decouple ingestion, classification, retrieval, routing, and safety.</w:t>
            </w:r>
          </w:p>
        </w:tc>
        <w:tc>
          <w:tcPr>
            <w:tcW w:type="dxa" w:w="3600"/>
            <w:tcBorders>
              <w:top w:val="single" w:sz="6" w:color="D9D9E0"/>
              <w:left w:val="single" w:sz="6" w:color="D9D9E0"/>
              <w:bottom w:val="single" w:sz="6" w:color="D9D9E0"/>
              <w:right w:val="single" w:sz="6" w:color="D9D9E0"/>
            </w:tcBorders>
            <w:shd w:val="clear" w:fill="F4F4F7"/>
          </w:tcPr>
          <w:p>
            <w:r>
              <w:t>Verified by architectural code inspection of src/ directory.</w:t>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42%</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 to 12 hours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3.2 / 5</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