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r>
              <w:t>PRD Revision Log — CloudServe Support Automation</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r>
              <w:t>2.0 (Post-Evaluation Revision)</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r>
              <w:t>Forward Deployed AI Engineer</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r>
              <w:t>8 September 2026</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r>
              <w:t>4 major requirement updates recorded</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r>
              <w:t>Empirical benchmark testing &amp; edge case discovery</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r>
              <w:t>Approved &amp; Implemented</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r>
              <w:t>All 75 Pytest cases passing</w:t>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r>
              <w:t>FR-03</w:t>
            </w:r>
          </w:p>
        </w:tc>
        <w:tc>
          <w:tcPr>
            <w:tcW w:type="dxa" w:w="2304"/>
            <w:tcBorders>
              <w:top w:val="single" w:sz="6" w:color="D9D9E0"/>
              <w:left w:val="single" w:sz="6" w:color="D9D9E0"/>
              <w:bottom w:val="single" w:sz="6" w:color="D9D9E0"/>
              <w:right w:val="single" w:sz="6" w:color="D9D9E0"/>
            </w:tcBorders>
          </w:tcPr>
          <w:p>
            <w:r>
              <w:t>Dense vector similarity retrieval alone.</w:t>
            </w:r>
          </w:p>
        </w:tc>
        <w:tc>
          <w:tcPr>
            <w:tcW w:type="dxa" w:w="2304"/>
            <w:tcBorders>
              <w:top w:val="single" w:sz="6" w:color="D9D9E0"/>
              <w:left w:val="single" w:sz="6" w:color="D9D9E0"/>
              <w:bottom w:val="single" w:sz="6" w:color="D9D9E0"/>
              <w:right w:val="single" w:sz="6" w:color="D9D9E0"/>
            </w:tcBorders>
          </w:tcPr>
          <w:p>
            <w:r>
              <w:t>Hybrid dense vector + BM25 keyword fallback.</w:t>
            </w:r>
          </w:p>
        </w:tc>
        <w:tc>
          <w:tcPr>
            <w:tcW w:type="dxa" w:w="2448"/>
            <w:tcBorders>
              <w:top w:val="single" w:sz="6" w:color="D9D9E0"/>
              <w:left w:val="single" w:sz="6" w:color="D9D9E0"/>
              <w:bottom w:val="single" w:sz="6" w:color="D9D9E0"/>
              <w:right w:val="single" w:sz="6" w:color="D9D9E0"/>
            </w:tcBorders>
          </w:tcPr>
          <w:p>
            <w:r>
              <w:t>Vector search missed exact error codes (ERR-4019).</w:t>
            </w:r>
          </w:p>
        </w:tc>
        <w:tc>
          <w:tcPr>
            <w:tcW w:type="dxa" w:w="1224"/>
            <w:tcBorders>
              <w:top w:val="single" w:sz="6" w:color="D9D9E0"/>
              <w:left w:val="single" w:sz="6" w:color="D9D9E0"/>
              <w:bottom w:val="single" w:sz="6" w:color="D9D9E0"/>
              <w:right w:val="single" w:sz="6" w:color="D9D9E0"/>
            </w:tcBorders>
          </w:tcPr>
          <w:p>
            <w:r>
              <w:t>System Architect &amp; Ines</w:t>
            </w:r>
          </w:p>
        </w:tc>
      </w:tr>
      <w:tr>
        <w:tc>
          <w:tcPr>
            <w:tcW w:type="dxa" w:w="1368"/>
            <w:tcBorders>
              <w:top w:val="single" w:sz="6" w:color="D9D9E0"/>
              <w:left w:val="single" w:sz="6" w:color="D9D9E0"/>
              <w:bottom w:val="single" w:sz="6" w:color="D9D9E0"/>
              <w:right w:val="single" w:sz="6" w:color="D9D9E0"/>
            </w:tcBorders>
            <w:shd w:val="clear" w:fill="F4F4F7"/>
          </w:tcPr>
          <w:p>
            <w:r>
              <w:t>FR-04</w:t>
            </w:r>
          </w:p>
        </w:tc>
        <w:tc>
          <w:tcPr>
            <w:tcW w:type="dxa" w:w="2304"/>
            <w:tcBorders>
              <w:top w:val="single" w:sz="6" w:color="D9D9E0"/>
              <w:left w:val="single" w:sz="6" w:color="D9D9E0"/>
              <w:bottom w:val="single" w:sz="6" w:color="D9D9E0"/>
              <w:right w:val="single" w:sz="6" w:color="D9D9E0"/>
            </w:tcBorders>
            <w:shd w:val="clear" w:fill="F4F4F7"/>
          </w:tcPr>
          <w:p>
            <w:r>
              <w:t>Auto-respond on confidence &gt;= 0.70.</w:t>
            </w:r>
          </w:p>
        </w:tc>
        <w:tc>
          <w:tcPr>
            <w:tcW w:type="dxa" w:w="2304"/>
            <w:tcBorders>
              <w:top w:val="single" w:sz="6" w:color="D9D9E0"/>
              <w:left w:val="single" w:sz="6" w:color="D9D9E0"/>
              <w:bottom w:val="single" w:sz="6" w:color="D9D9E0"/>
              <w:right w:val="single" w:sz="6" w:color="D9D9E0"/>
            </w:tcBorders>
            <w:shd w:val="clear" w:fill="F4F4F7"/>
          </w:tcPr>
          <w:p>
            <w:r>
              <w:t>Auto-respond threshold raised to &gt;= 0.82 + mandatory intent safety rules.</w:t>
            </w:r>
          </w:p>
        </w:tc>
        <w:tc>
          <w:tcPr>
            <w:tcW w:type="dxa" w:w="2448"/>
            <w:tcBorders>
              <w:top w:val="single" w:sz="6" w:color="D9D9E0"/>
              <w:left w:val="single" w:sz="6" w:color="D9D9E0"/>
              <w:bottom w:val="single" w:sz="6" w:color="D9D9E0"/>
              <w:right w:val="single" w:sz="6" w:color="D9D9E0"/>
            </w:tcBorders>
            <w:shd w:val="clear" w:fill="F4F4F7"/>
          </w:tcPr>
          <w:p>
            <w:r>
              <w:t>Evaluation run showed borderline 0.72 scores had partial relevance.</w:t>
            </w:r>
          </w:p>
        </w:tc>
        <w:tc>
          <w:tcPr>
            <w:tcW w:type="dxa" w:w="1224"/>
            <w:tcBorders>
              <w:top w:val="single" w:sz="6" w:color="D9D9E0"/>
              <w:left w:val="single" w:sz="6" w:color="D9D9E0"/>
              <w:bottom w:val="single" w:sz="6" w:color="D9D9E0"/>
              <w:right w:val="single" w:sz="6" w:color="D9D9E0"/>
            </w:tcBorders>
            <w:shd w:val="clear" w:fill="F4F4F7"/>
          </w:tcPr>
          <w:p>
            <w:r>
              <w:t>Marcus &amp; System Lead</w:t>
            </w:r>
          </w:p>
        </w:tc>
      </w:tr>
      <w:tr>
        <w:tc>
          <w:tcPr>
            <w:tcW w:type="dxa" w:w="1368"/>
            <w:tcBorders>
              <w:top w:val="single" w:sz="6" w:color="D9D9E0"/>
              <w:left w:val="single" w:sz="6" w:color="D9D9E0"/>
              <w:bottom w:val="single" w:sz="6" w:color="D9D9E0"/>
              <w:right w:val="single" w:sz="6" w:color="D9D9E0"/>
            </w:tcBorders>
          </w:tcPr>
          <w:p>
            <w:r>
              <w:t>FR-07</w:t>
            </w:r>
          </w:p>
        </w:tc>
        <w:tc>
          <w:tcPr>
            <w:tcW w:type="dxa" w:w="2304"/>
            <w:tcBorders>
              <w:top w:val="single" w:sz="6" w:color="D9D9E0"/>
              <w:left w:val="single" w:sz="6" w:color="D9D9E0"/>
              <w:bottom w:val="single" w:sz="6" w:color="D9D9E0"/>
              <w:right w:val="single" w:sz="6" w:color="D9D9E0"/>
            </w:tcBorders>
          </w:tcPr>
          <w:p>
            <w:r>
              <w:t>Basic regex check for API keys.</w:t>
            </w:r>
          </w:p>
        </w:tc>
        <w:tc>
          <w:tcPr>
            <w:tcW w:type="dxa" w:w="2304"/>
            <w:tcBorders>
              <w:top w:val="single" w:sz="6" w:color="D9D9E0"/>
              <w:left w:val="single" w:sz="6" w:color="D9D9E0"/>
              <w:bottom w:val="single" w:sz="6" w:color="D9D9E0"/>
              <w:right w:val="single" w:sz="6" w:color="D9D9E0"/>
            </w:tcBorders>
          </w:tcPr>
          <w:p>
            <w:r>
              <w:t>Multi-pattern scanner (API keys, DB URIs, JWT tokens, account IDs).</w:t>
            </w:r>
          </w:p>
        </w:tc>
        <w:tc>
          <w:tcPr>
            <w:tcW w:type="dxa" w:w="2448"/>
            <w:tcBorders>
              <w:top w:val="single" w:sz="6" w:color="D9D9E0"/>
              <w:left w:val="single" w:sz="6" w:color="D9D9E0"/>
              <w:bottom w:val="single" w:sz="6" w:color="D9D9E0"/>
              <w:right w:val="single" w:sz="6" w:color="D9D9E0"/>
            </w:tcBorders>
          </w:tcPr>
          <w:p>
            <w:r>
              <w:t>Test ticket containing DB URI passed initial regex scanner.</w:t>
            </w:r>
          </w:p>
        </w:tc>
        <w:tc>
          <w:tcPr>
            <w:tcW w:type="dxa" w:w="1224"/>
            <w:tcBorders>
              <w:top w:val="single" w:sz="6" w:color="D9D9E0"/>
              <w:left w:val="single" w:sz="6" w:color="D9D9E0"/>
              <w:bottom w:val="single" w:sz="6" w:color="D9D9E0"/>
              <w:right w:val="single" w:sz="6" w:color="D9D9E0"/>
            </w:tcBorders>
          </w:tcPr>
          <w:p>
            <w:r>
              <w:t>Security &amp; Daniel</w:t>
            </w:r>
          </w:p>
        </w:tc>
      </w:tr>
      <w:tr>
        <w:tc>
          <w:tcPr>
            <w:tcW w:type="dxa" w:w="1368"/>
            <w:tcBorders>
              <w:top w:val="single" w:sz="6" w:color="D9D9E0"/>
              <w:left w:val="single" w:sz="6" w:color="D9D9E0"/>
              <w:bottom w:val="single" w:sz="6" w:color="D9D9E0"/>
              <w:right w:val="single" w:sz="6" w:color="D9D9E0"/>
            </w:tcBorders>
            <w:shd w:val="clear" w:fill="F4F4F7"/>
          </w:tcPr>
          <w:p>
            <w:r>
              <w:t>FR-10</w:t>
            </w:r>
          </w:p>
        </w:tc>
        <w:tc>
          <w:tcPr>
            <w:tcW w:type="dxa" w:w="2304"/>
            <w:tcBorders>
              <w:top w:val="single" w:sz="6" w:color="D9D9E0"/>
              <w:left w:val="single" w:sz="6" w:color="D9D9E0"/>
              <w:bottom w:val="single" w:sz="6" w:color="D9D9E0"/>
              <w:right w:val="single" w:sz="6" w:color="D9D9E0"/>
            </w:tcBorders>
            <w:shd w:val="clear" w:fill="F4F4F7"/>
          </w:tcPr>
          <w:p>
            <w:r>
              <w:t>Text summary for escalations.</w:t>
            </w:r>
          </w:p>
        </w:tc>
        <w:tc>
          <w:tcPr>
            <w:tcW w:type="dxa" w:w="2304"/>
            <w:tcBorders>
              <w:top w:val="single" w:sz="6" w:color="D9D9E0"/>
              <w:left w:val="single" w:sz="6" w:color="D9D9E0"/>
              <w:bottom w:val="single" w:sz="6" w:color="D9D9E0"/>
              <w:right w:val="single" w:sz="6" w:color="D9D9E0"/>
            </w:tcBorders>
            <w:shd w:val="clear" w:fill="F4F4F7"/>
          </w:tcPr>
          <w:p>
            <w:r>
              <w:t>Structured JSON diagnostic payload (intent, docs, trace, confidence).</w:t>
            </w:r>
          </w:p>
        </w:tc>
        <w:tc>
          <w:tcPr>
            <w:tcW w:type="dxa" w:w="2448"/>
            <w:tcBorders>
              <w:top w:val="single" w:sz="6" w:color="D9D9E0"/>
              <w:left w:val="single" w:sz="6" w:color="D9D9E0"/>
              <w:bottom w:val="single" w:sz="6" w:color="D9D9E0"/>
              <w:right w:val="single" w:sz="6" w:color="D9D9E0"/>
            </w:tcBorders>
            <w:shd w:val="clear" w:fill="F4F4F7"/>
          </w:tcPr>
          <w:p>
            <w:r>
              <w:t>Daniel requirement to show working context clearly.</w:t>
            </w:r>
          </w:p>
        </w:tc>
        <w:tc>
          <w:tcPr>
            <w:tcW w:type="dxa" w:w="1224"/>
            <w:tcBorders>
              <w:top w:val="single" w:sz="6" w:color="D9D9E0"/>
              <w:left w:val="single" w:sz="6" w:color="D9D9E0"/>
              <w:bottom w:val="single" w:sz="6" w:color="D9D9E0"/>
              <w:right w:val="single" w:sz="6" w:color="D9D9E0"/>
            </w:tcBorders>
            <w:shd w:val="clear" w:fill="F4F4F7"/>
          </w:tcPr>
          <w:p>
            <w:r>
              <w:t>Daniel &amp; Tier 2 Ops</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r>
              <w:t>Dense vector search is sufficient for all doc queries.</w:t>
            </w:r>
          </w:p>
        </w:tc>
        <w:tc>
          <w:tcPr>
            <w:tcW w:type="dxa" w:w="1296"/>
            <w:tcBorders>
              <w:top w:val="single" w:sz="6" w:color="D9D9E0"/>
              <w:left w:val="single" w:sz="6" w:color="D9D9E0"/>
              <w:bottom w:val="single" w:sz="6" w:color="D9D9E0"/>
              <w:right w:val="single" w:sz="6" w:color="D9D9E0"/>
            </w:tcBorders>
          </w:tcPr>
          <w:p>
            <w:r>
              <w:t>False</w:t>
            </w:r>
          </w:p>
        </w:tc>
        <w:tc>
          <w:tcPr>
            <w:tcW w:type="dxa" w:w="2736"/>
            <w:tcBorders>
              <w:top w:val="single" w:sz="6" w:color="D9D9E0"/>
              <w:left w:val="single" w:sz="6" w:color="D9D9E0"/>
              <w:bottom w:val="single" w:sz="6" w:color="D9D9E0"/>
              <w:right w:val="single" w:sz="6" w:color="D9D9E0"/>
            </w:tcBorders>
          </w:tcPr>
          <w:p>
            <w:r>
              <w:t>Exact alphanumeric error codes match better with BM25 keyword index.</w:t>
            </w:r>
          </w:p>
        </w:tc>
        <w:tc>
          <w:tcPr>
            <w:tcW w:type="dxa" w:w="2736"/>
            <w:tcBorders>
              <w:top w:val="single" w:sz="6" w:color="D9D9E0"/>
              <w:left w:val="single" w:sz="6" w:color="D9D9E0"/>
              <w:bottom w:val="single" w:sz="6" w:color="D9D9E0"/>
              <w:right w:val="single" w:sz="6" w:color="D9D9E0"/>
            </w:tcBorders>
          </w:tcPr>
          <w:p>
            <w:r>
              <w:t>Added BM25 hybrid retrieval component.</w:t>
            </w:r>
          </w:p>
        </w:tc>
      </w:tr>
      <w:tr>
        <w:tc>
          <w:tcPr>
            <w:tcW w:type="dxa" w:w="2880"/>
            <w:tcBorders>
              <w:top w:val="single" w:sz="6" w:color="D9D9E0"/>
              <w:left w:val="single" w:sz="6" w:color="D9D9E0"/>
              <w:bottom w:val="single" w:sz="6" w:color="D9D9E0"/>
              <w:right w:val="single" w:sz="6" w:color="D9D9E0"/>
            </w:tcBorders>
            <w:shd w:val="clear" w:fill="F4F4F7"/>
          </w:tcPr>
          <w:p>
            <w:r>
              <w:t>A single confidence threshold works for all intent types.</w:t>
            </w:r>
          </w:p>
        </w:tc>
        <w:tc>
          <w:tcPr>
            <w:tcW w:type="dxa" w:w="1296"/>
            <w:tcBorders>
              <w:top w:val="single" w:sz="6" w:color="D9D9E0"/>
              <w:left w:val="single" w:sz="6" w:color="D9D9E0"/>
              <w:bottom w:val="single" w:sz="6" w:color="D9D9E0"/>
              <w:right w:val="single" w:sz="6" w:color="D9D9E0"/>
            </w:tcBorders>
            <w:shd w:val="clear" w:fill="F4F4F7"/>
          </w:tcPr>
          <w:p>
            <w:r>
              <w:t>False</w:t>
            </w:r>
          </w:p>
        </w:tc>
        <w:tc>
          <w:tcPr>
            <w:tcW w:type="dxa" w:w="2736"/>
            <w:tcBorders>
              <w:top w:val="single" w:sz="6" w:color="D9D9E0"/>
              <w:left w:val="single" w:sz="6" w:color="D9D9E0"/>
              <w:bottom w:val="single" w:sz="6" w:color="D9D9E0"/>
              <w:right w:val="single" w:sz="6" w:color="D9D9E0"/>
            </w:tcBorders>
            <w:shd w:val="clear" w:fill="F4F4F7"/>
          </w:tcPr>
          <w:p>
            <w:r>
              <w:t>Compliance and billing queries require strict safety rules regardless of score.</w:t>
            </w:r>
          </w:p>
        </w:tc>
        <w:tc>
          <w:tcPr>
            <w:tcW w:type="dxa" w:w="2736"/>
            <w:tcBorders>
              <w:top w:val="single" w:sz="6" w:color="D9D9E0"/>
              <w:left w:val="single" w:sz="6" w:color="D9D9E0"/>
              <w:bottom w:val="single" w:sz="6" w:color="D9D9E0"/>
              <w:right w:val="single" w:sz="6" w:color="D9D9E0"/>
            </w:tcBorders>
            <w:shd w:val="clear" w:fill="F4F4F7"/>
          </w:tcPr>
          <w:p>
            <w:r>
              <w:t>Enforced mandatory escalation for high-risk intents.</w:t>
            </w:r>
          </w:p>
        </w:tc>
      </w:tr>
      <w:tr>
        <w:tc>
          <w:tcPr>
            <w:tcW w:type="dxa" w:w="2880"/>
            <w:tcBorders>
              <w:top w:val="single" w:sz="6" w:color="D9D9E0"/>
              <w:left w:val="single" w:sz="6" w:color="D9D9E0"/>
              <w:bottom w:val="single" w:sz="6" w:color="D9D9E0"/>
              <w:right w:val="single" w:sz="6" w:color="D9D9E0"/>
            </w:tcBorders>
          </w:tcPr>
          <w:p>
            <w:r>
              <w:t>Standard LLM context window preserves citation accuracy.</w:t>
            </w:r>
          </w:p>
        </w:tc>
        <w:tc>
          <w:tcPr>
            <w:tcW w:type="dxa" w:w="1296"/>
            <w:tcBorders>
              <w:top w:val="single" w:sz="6" w:color="D9D9E0"/>
              <w:left w:val="single" w:sz="6" w:color="D9D9E0"/>
              <w:bottom w:val="single" w:sz="6" w:color="D9D9E0"/>
              <w:right w:val="single" w:sz="6" w:color="D9D9E0"/>
            </w:tcBorders>
          </w:tcPr>
          <w:p>
            <w:r>
              <w:t>True</w:t>
            </w:r>
          </w:p>
        </w:tc>
        <w:tc>
          <w:tcPr>
            <w:tcW w:type="dxa" w:w="2736"/>
            <w:tcBorders>
              <w:top w:val="single" w:sz="6" w:color="D9D9E0"/>
              <w:left w:val="single" w:sz="6" w:color="D9D9E0"/>
              <w:bottom w:val="single" w:sz="6" w:color="D9D9E0"/>
              <w:right w:val="single" w:sz="6" w:color="D9D9E0"/>
            </w:tcBorders>
          </w:tcPr>
          <w:p>
            <w:r>
              <w:t>Providing explicit doc chunk IDs in prompt preserved citation accuracy.</w:t>
            </w:r>
          </w:p>
        </w:tc>
        <w:tc>
          <w:tcPr>
            <w:tcW w:type="dxa" w:w="2736"/>
            <w:tcBorders>
              <w:top w:val="single" w:sz="6" w:color="D9D9E0"/>
              <w:left w:val="single" w:sz="6" w:color="D9D9E0"/>
              <w:bottom w:val="single" w:sz="6" w:color="D9D9E0"/>
              <w:right w:val="single" w:sz="6" w:color="D9D9E0"/>
            </w:tcBorders>
          </w:tcPr>
          <w:p>
            <w:r>
              <w:t>Maintained explicit markdown citation format.</w:t>
            </w:r>
          </w:p>
        </w:tc>
      </w:tr>
      <w:tr>
        <w:tc>
          <w:tcPr>
            <w:tcW w:type="dxa" w:w="2880"/>
            <w:tcBorders>
              <w:top w:val="single" w:sz="6" w:color="D9D9E0"/>
              <w:left w:val="single" w:sz="6" w:color="D9D9E0"/>
              <w:bottom w:val="single" w:sz="6" w:color="D9D9E0"/>
              <w:right w:val="single" w:sz="6" w:color="D9D9E0"/>
            </w:tcBorders>
            <w:shd w:val="clear" w:fill="F4F4F7"/>
          </w:tcPr>
          <w:p>
            <w:r>
              <w:t>Non-fluent English queries cause lower retrieval scores.</w:t>
            </w:r>
          </w:p>
        </w:tc>
        <w:tc>
          <w:tcPr>
            <w:tcW w:type="dxa" w:w="1296"/>
            <w:tcBorders>
              <w:top w:val="single" w:sz="6" w:color="D9D9E0"/>
              <w:left w:val="single" w:sz="6" w:color="D9D9E0"/>
              <w:bottom w:val="single" w:sz="6" w:color="D9D9E0"/>
              <w:right w:val="single" w:sz="6" w:color="D9D9E0"/>
            </w:tcBorders>
            <w:shd w:val="clear" w:fill="F4F4F7"/>
          </w:tcPr>
          <w:p>
            <w:r>
              <w:t>False</w:t>
            </w:r>
          </w:p>
        </w:tc>
        <w:tc>
          <w:tcPr>
            <w:tcW w:type="dxa" w:w="2736"/>
            <w:tcBorders>
              <w:top w:val="single" w:sz="6" w:color="D9D9E0"/>
              <w:left w:val="single" w:sz="6" w:color="D9D9E0"/>
              <w:bottom w:val="single" w:sz="6" w:color="D9D9E0"/>
              <w:right w:val="single" w:sz="6" w:color="D9D9E0"/>
            </w:tcBorders>
            <w:shd w:val="clear" w:fill="F4F4F7"/>
          </w:tcPr>
          <w:p>
            <w:r>
              <w:t>Dense embeddings mapped non-fluent phrasing effectively to KB topics.</w:t>
            </w:r>
          </w:p>
        </w:tc>
        <w:tc>
          <w:tcPr>
            <w:tcW w:type="dxa" w:w="2736"/>
            <w:tcBorders>
              <w:top w:val="single" w:sz="6" w:color="D9D9E0"/>
              <w:left w:val="single" w:sz="6" w:color="D9D9E0"/>
              <w:bottom w:val="single" w:sz="6" w:color="D9D9E0"/>
              <w:right w:val="single" w:sz="6" w:color="D9D9E0"/>
            </w:tcBorders>
            <w:shd w:val="clear" w:fill="F4F4F7"/>
          </w:tcPr>
          <w:p>
            <w:r>
              <w:t>Maintained uniform retrieval pipeline for all fluency levels.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