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1E3A5F"/>
          <w:sz w:val="56"/>
          <w:szCs w:val="56"/>
        </w:rPr>
        <w:t xml:space="preserve">CloudServe Support Automation</w:t>
      </w:r>
    </w:p>
    <w:p>
      <w:pPr>
        <w:spacing w:after="120" w:before="120"/>
        <w:jc w:val="center"/>
      </w:pPr>
      <w:r>
        <w:rPr>
          <w:color w:val="2E86C1"/>
          <w:sz w:val="40"/>
          <w:szCs w:val="40"/>
        </w:rPr>
        <w:t xml:space="preserve">Capstone Report</w:t>
      </w:r>
    </w:p>
    <w:p>
      <w:pPr>
        <w:spacing w:after="80" w:before="480"/>
        <w:jc w:val="center"/>
      </w:pPr>
      <w:r>
        <w:rPr>
          <w:b/>
          <w:bCs/>
          <w:color w:val="1A1A1A"/>
          <w:sz w:val="26"/>
          <w:szCs w:val="26"/>
        </w:rPr>
        <w:t xml:space="preserve">Mimoh Naik</w:t>
      </w:r>
    </w:p>
    <w:p>
      <w:pPr>
        <w:spacing w:after="80" w:before="80"/>
        <w:jc w:val="center"/>
      </w:pPr>
      <w:r>
        <w:rPr>
          <w:color w:val="5D6D7E"/>
          <w:sz w:val="22"/>
          <w:szCs w:val="22"/>
        </w:rPr>
        <w:t xml:space="preserve">CloudServe Solutions — Forward Deployed Engineering Capstone</w:t>
      </w:r>
    </w:p>
    <w:p>
      <w:pPr>
        <w:spacing w:after="80" w:before="80"/>
        <w:jc w:val="center"/>
      </w:pPr>
      <w:r>
        <w:rPr>
          <w:color w:val="5D6D7E"/>
          <w:sz w:val="20"/>
          <w:szCs w:val="20"/>
        </w:rPr>
        <w:t xml:space="preserve">Evidence cut-off: 12 September 2026  ·  Submission year: 2026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C0392B" w:sz="8"/>
              <w:left w:val="thick" w:color="C0392B" w:sz="20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OWNER-APPROVED RECOMMENDATION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LIMITED SUPERVISED PILOT — NOT PRODUCTION-READY
Technical report and preserved-evidence review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CloudServe's supplied discovery materials described delayed support, difficulty locating reviewed documentation, and context-poor escalations. The brief's reported business baselines were FCR 42%, mean first response 8–12 hours, CSAT 3.2/5, and escalation 58%; repeat contacts were not measured.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Separately, the supplied 500-ticket development dataset contains descriptive fields: 71.4% documentation answerability, 43.8% FCR-labelled tickets, and mean CSAT 2.97/5. Neither source is a system outcome.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Frozen V1 is a controlled, documentation-grounded support pipeline. It normalizes four channels; classifies intent and urgency; retrieves reviewed passages; routes deterministically; generates provider-neutral grounded candidates; blocks unsafe output; creates structured escalations; and persists auditable decisions. FastAPI, SQLite, Prometheus-compatible monitoring, governance controls, and GitHub Actions CI accompany the pipeline.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Key Validation Results (80-ticket authorized technical rerun)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900"/>
        <w:gridCol w:w="2200"/>
        <w:gridCol w:w="31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Intent macro precision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Pipeline P95 latency (local sequential)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0.0915 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Decision-log coverage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 (80/80)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42.5%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⚠ Weak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Confidence calibration error (ECE)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~42.3 pp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✘ Not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V1 automation rate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⚠ Escalation 100%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1E3A5F" w:sz="8"/>
              <w:left w:val="thick" w:color="1E3A5F" w:sz="20"/>
              <w:bottom w:val="single" w:color="BDC3C7" w:sz="1"/>
              <w:right w:val="single" w:color="BDC3C7" w:sz="1"/>
            </w:tcBorders>
            <w:shd w:fill="D6EA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Separation of Concerns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The report separates three questions: (1) Engineering acceptance — does the implemented workflow, tests, and logging provide credible A1–A12 evidence? CREDIBLE PASS. (2) Evaluation — what did frozen V1 do on the permitted technical validation population? Mixed results. (3) Deployment — what level of real-world use does the owner authorize? LIMITED SUPERVISED PILOT.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The central design choice is controlled escalation rather than maximum automation. V1 records enough context for a reviewer to understand the route, retains a fail-closed path when evidence or validation is inadequate, and treats generation as a candidate response rather than the final authority.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2. Discovery and Problem Framing</w:t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Discovery Evidence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The supplied discovery materials contain five stakeholder perspectives. The Stage 1 workbook consolidates and reconciles these findings rather than asserting a day-by-day authorship sequence.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Marcus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Head of Support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Workload and response-delay pressure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Sofia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Tier 1 Agent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Effort spent locating knowledge; reliance on personal answer files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Daniel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Tier 2 Engineer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Escalations that lacked usable context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Technical Writer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Reviewed articles difficult to locate through symptom language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Ravi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Required honest, clearly labelled, cited communication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The discovery record preserves a material tension: whether CloudServe lacked articles or lacked a reliable way to locate its reviewed articles. The supplied development dataset marked 357 of 500 tickets (71.4%) answerable from reviewed documentation and 219 of 500 (43.8%) in its FCR-labelled field.</w:t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Brief Historical Baselines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800"/>
        <w:gridCol w:w="1500"/>
        <w:gridCol w:w="49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Business Baseline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Boundary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First-contact resolution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42%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Brief-reported baseline; not V1 performance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Mean first response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8–12 hours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Brief-reported operational baseline; not pipeline latency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CSAT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3.2 / 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Brief-reported baseline; not V1 performance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58%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Brief-reported baseline; not V1 performance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Repeat contacts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MEASURED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brief baseline supplied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Development-Dataset Descriptive Metrics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000"/>
        <w:gridCol w:w="1500"/>
        <w:gridCol w:w="47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Dataset Field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Boundary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Documentation answerability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71.4% (357/500)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descriptive label — not V1 resolution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FCR-labelled field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43.8% (219/500)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descriptive field — not system-attributable FCR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Mean CSAT field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2.97 / 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descriptive field — not V1 CSAT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Repeat-contact field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21.6% (108/500)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descriptive field — not a V1 outcome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Non-fluent tickets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24.0% (120/500)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Explicit supplied field — not inferred identity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Problem-Statement Traceability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The problem statement is traceable to three evidence sources with different roles: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Stakeholder perspectives — describe operational friction: response-delay pressure, difficulty locating reviewed information, escalation context gaps, and the need for honest cited communication.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Development dataset — describes available ticket and documentation fields, including the proportion marked answerable from reviewed material.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Project requirements — translate observations into technical controls: four-channel normalization, evidence retrieval, deterministic routing, blocking guardrails, structured escalation, and decision logging.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3. Requirements and Success Criteria</w:t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Requirement Group Summary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 Status &amp; Evidence Boundary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FR-01 Ingestion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— email, live chat, documentation comments, and community forum inputs normalize while preserving channel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FR-02 Classification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functionally — every valid ticket has intent, urgency, and confidence; urgency quality is weak on validation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FR-03 Retrieval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— identifiable reviewed passages, ranking, and no-result behaviour through MiniLM and NumPy exact cosine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FR-04 Routing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PARTIAL — A5 two-outcome contract passes, but validation routing accuracy was 40%, automation 0%, escalation 100%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FR-05 Generation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functionally; validation semantic citation accuracy remains 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FR-06 to FR-09 Guardrails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functionally — grounding, private-data, injection, and commitment failures block/escalate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FR-10 Escalation context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structurally; operator usefulness is 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FR-11 Audit logging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— 80/80 validation terminal decisions reconciled to persistent records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FR-12 Unattended evaluation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 — arbitrary-size harness writes machine- and human-readable artifacts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1E8449" w:sz="8"/>
              <w:left w:val="thick" w:color="1E8449" w:sz="20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Engineering Acceptance (A1–A12)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A1–A12 have credible PASS evidence: clean checkout, four-channel ingestion, classification, retrieval, deterministic routing, citation validation, guardrail blocking, decision logging, unattended evaluation, automatic metrics, failure handling, and one-command tests. This engineering acceptance finding is distinct from business, governance, and production targets.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Business Metrics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100"/>
        <w:gridCol w:w="1200"/>
        <w:gridCol w:w="1200"/>
        <w:gridCol w:w="2800"/>
        <w:gridCol w:w="19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Evidence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FCR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42%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60%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measured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Mean first response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8–12 h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5 min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measured; latency not substituted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CSAT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3.2/5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4.0/5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measured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58%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30%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 on 80-ticket validation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MEASURED + NOT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Repeat contacts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baseline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~Halved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measured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Technical Metrics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500"/>
        <w:gridCol w:w="1300"/>
        <w:gridCol w:w="3500"/>
        <w:gridCol w:w="19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Evidence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Classification precision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85%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 intent macro precision (80-ticket validation)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MEASURED +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Hallucination rate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5%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2.0% — 50 development candidates, two reviewers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D6D7E"/>
                <w:sz w:val="16"/>
                <w:szCs w:val="16"/>
              </w:rPr>
              <w:t xml:space="preserve">DEVELOPMENT ONLY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Semantic citation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95%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98.0% — 50 development candidates, two reviewers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D6D7E"/>
                <w:sz w:val="16"/>
                <w:szCs w:val="16"/>
              </w:rPr>
              <w:t xml:space="preserve">DEVELOPMENT ONLY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Pipeline P95 latency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3 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0.0915 s local sequential (80-ticket validation)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MEASURED +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99.5%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measured; CI and /health excluded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Governance Metrics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500"/>
        <w:gridCol w:w="1300"/>
        <w:gridCol w:w="3500"/>
        <w:gridCol w:w="19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Evidence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Private-data leakage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Zero released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Functional blocking tests; no released validation responses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Fairness quality difference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5 pp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Preliminary segmentation; gate not proven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PROVEN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Decision-log coverage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Complete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 (80/80 terminal decisions — 80-ticket validation)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MEASURED + MET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Confidence calibration error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5 pp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42.267% (80-ticket validation)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MEASURED + NOT MET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Additional Measured Diagnostics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6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Diagnostic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Evidence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Population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42.5%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80-ticket validation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MATERIAL QUALITY LIMITATION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macro F1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41.417%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80-ticket validation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MATERIAL QUALITY LIMITATION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Routing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80-ticket validation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MATERIAL QUALITY LIMITATION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V1 automation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 terminal outcomes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NO BRIEF THRESHOLD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Owner future automation target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30% minimum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Owner-confirmed; not a V1 observation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OWNER FUTURE TARGET — NOT MEASURED RESULT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Retrieval Recall@1 / @3 / @5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76.4% / 87.7% / 88.7%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53 eligible validation tickets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NO BRIEF THRESHOLD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Retrieval Precision@1 / @3 / @5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90.6% / 36.8% / 25.6%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53 eligible validation tickets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NO BRIEF THRESHOLD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Retrieval MRR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92.8%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53 eligible validation tickets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NO BRIEF THRESHOLD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correctness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3.74/5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 candidates, two reviewers (100 ratings)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D6D7E"/>
                <w:sz w:val="16"/>
                <w:szCs w:val="16"/>
              </w:rPr>
              <w:t xml:space="preserve">DEVELOPMENT ONLY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usefulness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2.87/5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 candidates, two reviewers (100 ratings)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D6D7E"/>
                <w:sz w:val="16"/>
                <w:szCs w:val="16"/>
              </w:rPr>
              <w:t xml:space="preserve">DEVELOPMENT ONLY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4. Architecture and Implementation</w:t>
      </w:r>
    </w:p>
    <w:p>
      <w:pPr>
        <w:spacing w:after="120" w:before="60"/>
        <w:jc w:val="both"/>
      </w:pPr>
      <w:r>
        <w:rPr>
          <w:b w:val="false"/>
          <w:bCs w:val="false"/>
          <w:color w:val="5D6D7E"/>
          <w:sz w:val="20"/>
          <w:szCs w:val="20"/>
        </w:rPr>
        <w:t xml:space="preserve">Frozen V1 fingerprint: ddf89e82…f59c1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Core Decision Flow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000"/>
        <w:gridCol w:w="600"/>
        <w:gridCol w:w="3000"/>
      </w:tblGrid>
      <w:tr>
        <w:tc>
          <w:tcPr>
            <w:gridSpan w:val="3"/>
            <w:tcBorders>
              <w:top w:val="none"/>
              <w:left w:val="none"/>
              <w:bottom w:val="none"/>
              <w:right w:val="none"/>
            </w:tcBorders>
            <w:shd w:fill="1E3A5F" w:color="auto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CORE DECISION FLOW</w:t>
            </w:r>
          </w:p>
        </w:tc>
      </w:tr>
      <w:tr>
        <w:tc>
          <w:tcPr>
            <w:gridSpan w:val="3"/>
            <w:tcBorders>
              <w:top w:val="none"/>
              <w:left w:val="none"/>
              <w:bottom w:val="single" w:color="2E86C1" w:sz="1"/>
              <w:right w:val="none"/>
            </w:tcBorders>
            <w:shd w:fill="D6EAF8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color w:val="1E3A5F"/>
                <w:sz w:val="18"/>
                <w:szCs w:val="18"/>
              </w:rPr>
              <w:t xml:space="preserve">01  FastAPI / Ticket Input</w:t>
            </w:r>
          </w:p>
          <w:p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color w:val="1E3A5F"/>
                <w:sz w:val="18"/>
                <w:szCs w:val="18"/>
              </w:rPr>
              <w:t xml:space="preserve">02  Normalization</w:t>
            </w:r>
          </w:p>
          <w:p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color w:val="1E3A5F"/>
                <w:sz w:val="18"/>
                <w:szCs w:val="18"/>
              </w:rPr>
              <w:t xml:space="preserve">03  Classification</w:t>
            </w:r>
          </w:p>
          <w:p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color w:val="1E3A5F"/>
                <w:sz w:val="18"/>
                <w:szCs w:val="18"/>
              </w:rPr>
              <w:t xml:space="preserve">04  Retrieval</w:t>
            </w:r>
          </w:p>
          <w:p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05  Deterministic Routing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ESCALATE</w:t>
            </w:r>
          </w:p>
          <w:p>
            <w:pPr>
              <w:jc w:val="center"/>
            </w:pPr>
            <w:r>
              <w:rPr>
                <w:color w:val="C0392B"/>
                <w:sz w:val="16"/>
                <w:szCs w:val="16"/>
              </w:rPr>
              <w:t xml:space="preserve">risk / uncertainty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5D6D7E"/>
                <w:sz w:val="20"/>
                <w:szCs w:val="20"/>
              </w:rPr>
              <w:t xml:space="preserve">↕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GENERATE</w:t>
            </w:r>
          </w:p>
          <w:p>
            <w:pPr>
              <w:jc w:val="center"/>
            </w:pPr>
            <w:r>
              <w:rPr>
                <w:color w:val="1E8449"/>
                <w:sz w:val="16"/>
                <w:szCs w:val="16"/>
              </w:rPr>
              <w:t xml:space="preserve">supported evidence</w:t>
            </w:r>
          </w:p>
        </w:tc>
      </w:tr>
      <w:tr>
        <w:tc>
          <w:tcPr>
            <w:gridSpan w:val="3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GUARDRAILS / VALIDATE</w:t>
            </w:r>
          </w:p>
          <w:p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↓</w:t>
            </w:r>
          </w:p>
          <w:p>
            <w:pPr>
              <w:jc w:val="center"/>
            </w:pPr>
            <w:r>
              <w:rPr>
                <w:color w:val="1E3A5F"/>
                <w:sz w:val="18"/>
                <w:szCs w:val="18"/>
              </w:rPr>
              <w:t xml:space="preserve">All terminal decisions → AUDIT | SQLite Decision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Implementation Stack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 / Approach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Ingestion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Four-channel (email, live chat, documentation comments, community forum) with channel preservation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TF-IDF word/character logistic-regression — intent, urgency, confidence. Threshold: 0.80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Retrieval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all-MiniLM-L6-v2 embeddings + NumPy exact cosine over 170 section-aware chunks. Threshold: 0.30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Routing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Deterministic Python — evaluates validity, risk, answerability, confidence, retrieval, guardrail state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Generation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Provider-neutral grounded generation spec v1.0.0; exact citation pairs required; unsupported = escalate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Guardrails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Direct-code: private-data/secrets, injection, commitment, grounding, malformed output, invalid confidence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Persistence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SQLite decision log — inputs, classifications, provenance, routing, guardrail/validation, requirement links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FastAPI — /health, /metrics, /tickets/process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Prometheus-compatible /metrics; Prometheus config + Grafana dashboard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GitHub Actions — checkout, Python 3.12, dep install, pip check, offline smoke, full Pytest suite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Classification Design and Limitation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Classification is implemented as direct-code machine learning (TF-IDF + logistic regression), not a runtime prompt. This makes feature processing and probability output reproducible locally without provider dependence.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B7770D" w:sz="8"/>
              <w:left w:val="thick" w:color="B7770D" w:sz="20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Urgency Performance Gap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Validation showed a sharp split: intent achieved 100.0% accuracy across 22 classes, while urgency reached only 42.5% accuracy and 41.417% macro F1 across three classes. Calibration ECE of 42.267% further signals that stated confidence did not align with observed accuracy. These are deployment-relevant limitations.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Retrieval Design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MiniLM was selected over BGE-small and E5-small based on strongest recorded Recall@3 and lower experiment latency and parameter footprint. NumPy exact cosine over 170 section-aware chunks removes a service dependency and exposes an inspectable ranking path.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Validation retrieval results (53 eligible tickets): Recall@1/3/5 = 76.4% / 87.7% / 88.7%; Precision@1/3/5 = 90.6% / 36.8% / 25.6%; MRR = 92.8%.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Non-Functional Requirement Status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NFR Area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Position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Local P95 latency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MEASURED + MET — 0.0915 s on technical rerun; not load evidence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MEASURED — /health and CI do not establish availability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Audit coverage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MEASURED + MET — 80/80 terminal decisions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Privacy / security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Private-data and secret blocking controls have functional test evidence; released-response leakage 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Fairness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PROVEN — segmentation is preliminary; human cross-group quality 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Reproducibility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Documented setup, arbitrary-size harness, one-command tests, clean-checkout smoke, hosted CI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Production service hardening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PRODUCTION-HARDENING GAP — auth/authz, rate limiting, load testing, availability, alert delivery, backup/recovery absent or unqualified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5. Evaluation Methodology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1800"/>
        <w:gridCol w:w="2500"/>
        <w:gridCol w:w="49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Set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Population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Permitted Use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500 supplied tickets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design, retrieval checks, segmented analysis, development human review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 supplied tickets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Authoritative technical validation only — after the disclosed rerun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Human review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 development candidates, 2 reviewers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ONLY — hallucination, citation, correctness, usefulness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Hidden assessment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Expected up to 120 tickets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accessed, inferred, run, or tuned against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1E3A5F" w:sz="8"/>
              <w:left w:val="thick" w:color="1E3A5F" w:sz="20"/>
              <w:bottom w:val="single" w:color="BDC3C7" w:sz="1"/>
              <w:right w:val="single" w:color="BDC3C7" w:sz="1"/>
            </w:tcBorders>
            <w:shd w:fill="D6EA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Infrastructure Failure Note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The first validation attempt is preserved as an embedding-cache/token-path infrastructure failure. Infrastructure-only remediation retained the frozen V1 fingerprint and did not tune behaviour. The owner authorized one disclosed 80-ticket technical rerun, which is the authoritative usable validation evidence.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Pipeline P50/P95 measures local sequential end-to-end processing — not arrival-to-customer first-response time, load, or availability. Development, validation, and operational evidence are not substituted for one another.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6. Authorized Technical Validation Results</w:t>
      </w:r>
    </w:p>
    <w:p>
      <w:pPr>
        <w:spacing w:after="120" w:before="60"/>
        <w:jc w:val="both"/>
      </w:pPr>
      <w:r>
        <w:rPr>
          <w:b w:val="false"/>
          <w:bCs w:val="false"/>
          <w:color w:val="5D6D7E"/>
          <w:sz w:val="20"/>
          <w:szCs w:val="20"/>
        </w:rPr>
        <w:t xml:space="preserve">Evidence: VALIDATION — authorized 80-ticket technical rerun.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Reconciliation and Classification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500"/>
        <w:gridCol w:w="2500"/>
        <w:gridCol w:w="32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Population / 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Source / evaluated / terminal / logged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 / 80 / 80 / 80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Reconciliation PASS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Intent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 tickets; 22 represented classes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Intent macro precision / recall / F1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 / 100.0% / 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 tickets; 22 represented classes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42.5%  (34/80 correct)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 tickets — MATERIAL QUALITY LIMITATION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macro precision / recall / F1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41.852% / 41.524% / 41.417%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Three urgency classes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Retrieval (53 Eligible Tickets)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19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@1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@3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@5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Recall@K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76.4%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87.7%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88.7%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Precision@K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90.6%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36.8%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25.6%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MRR</w:t>
            </w:r>
          </w:p>
        </w:tc>
        <w:tc>
          <w:tcPr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92.8%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Routing, Reliability, and Governance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500"/>
        <w:gridCol w:w="2200"/>
        <w:gridCol w:w="35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Routing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 — MATERIAL QUALITY LIMITATION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Automation rate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Escalation rate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MEASURED + NOT MET (target ≤ 30%)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Processing failures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✔ Clean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Decision-log coverage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 (80/80)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E8449"/>
                <w:sz w:val="18"/>
                <w:szCs w:val="18"/>
              </w:rPr>
              <w:t xml:space="preserve">✔ PASS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Pipeline latency P50 / P95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0.0502 s / 0.0915 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✔ P95 Met (local sequential only)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Confidence calibration error (ECE)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42.267%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MEASURED + NOT MET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B7770D" w:sz="8"/>
              <w:left w:val="thick" w:color="B7770D" w:sz="20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Not Measured in Validation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Validation had no released automatic responses. The following remain NOT MEASURED: hallucination rate, semantic citation accuracy, correctness, usefulness, released-response guardrail coverage, citation-ID validity, and private-data release rate.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7. Development Human Evaluation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1E3A5F" w:sz="8"/>
              <w:left w:val="thick" w:color="1E3A5F" w:sz="20"/>
              <w:bottom w:val="single" w:color="BDC3C7" w:sz="1"/>
              <w:right w:val="single" w:color="BDC3C7" w:sz="1"/>
            </w:tcBorders>
            <w:shd w:fill="D6EA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Evidence Classification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DEVELOPMENT ONLY — Two independent reviewers assessed 50 development response candidates. These results cannot establish validation or production compliance. Validation hallucination and semantic citation accuracy remain NOT MEASURED.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200"/>
        <w:gridCol w:w="1800"/>
        <w:gridCol w:w="42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Denominator / Agreement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Hallucination rate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/ 50 candidates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Semantic citation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98.0%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49 / 50 candidates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Correctness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3.74 / 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 reviewer ratings (2 reviewers × 50 candidates)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Usefulness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2.87 / 5 ⚠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 reviewer ratings — owner: too low for production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Unsupported-claim agreement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50/50 raw agreement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Citation-support agreement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50/50 raw agreement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Correctness agreement kappa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0.712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Quadratic weighted kappa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Usefulness agreement kappa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0.941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Quadratic weighted kappa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Twenty-six samples had at least one ordinal disagreement and none was automatically adjudicated. Strong citation and hallucination figures do not convert into a positive usefulness finding — the report preserves this distinction.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8. Fairness Evidence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500"/>
        <w:gridCol w:w="2000"/>
        <w:gridCol w:w="1700"/>
        <w:gridCol w:w="30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Subgroup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Non-fluent (dev)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Recall@3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79.9%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vs 87.4% fluent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Long text (dev)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Recall@3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89.1%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vs 82.6% short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Enterprise (validation, n=8)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 (below min group size of 20)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Non-fluent (validation, n=19)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MEASURED (below min group size of 20)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Short text (validation)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accuracy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27.9%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vs 59.5% long — not a customer-quality outcome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&lt;5pp fairness gate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B7770D"/>
                <w:sz w:val="16"/>
                <w:szCs w:val="16"/>
              </w:rPr>
              <w:t xml:space="preserve">NOT PROVEN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Segmentation used explicit customer-tier and language-fluency fields plus a deterministic short/long text rule; protected attributes were not inferred. The fairness evidence is preliminary: limited by subgroup size and lacking adequately powered cross-group human response-quality evidence.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9. Reliability and Guardrails</w:t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Guardrail Coverage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Guardrails demonstrably block unsafe output across the following categories: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Private data and secret patterns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Instruction manipulation and prompt injection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Unsupported commitments (refunds, credits, guarantees, dates, policy exceptions)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Inadequate grounding and missing evidence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Malformed generation and invalid/missing confidence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Internal exceptions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 Path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Terminal Behaviour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Malformed input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Fail closed → auditable escalation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retrieval result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Escalate (no fabricated answer)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Provider timeout / outage / rate limit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Fail closed → escalation with reason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Invalid generation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Block and escalate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Dependency failure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Fail closed → escalation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Audit-store failure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Fail closed → escalation; log preserved where possible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Kill switch enabled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Suppress auto-releases; ticket routes to KILL_SWITCH_ENABLED escalation; logging continues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10. Monitoring, Governance, and Reproducibility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Prometheus /metrics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Ticket outcomes, latency, guardrail events, confidence distribution — no ticket bodies, customer IDs, response text, or secrets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Grafana dashboard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Operational monitoring; accompanies Prometheus configuration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Risk register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Covers: confident-but-wrong output, private-data exposure, prompt injection, uneven quality, stale docs, provider unavailability, latency degradation, cost growth, unsafe release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Incident procedure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Detect → Contain → Assess → Notify → Remediate → Review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Kill switch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File-based; suspends auto-releases without a deployment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GitHub Actions CI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Run 34689311670 / commit ec9c0fd7 — OBSERVED SUCCESS: checkout, Python 3.12, dep install, pip check, offline smoke, full Pytest. Reproducibility evidence — not availability.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11. V2 Development Experiment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C0392B" w:sz="8"/>
              <w:left w:val="thick" w:color="C0392B" w:sz="20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Result: REJECTED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Stage 20 was DEVELOPMENT ONLY and did not load validation. V2 was rejected, was not validated or promoted, and did not change frozen V1.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200"/>
        <w:gridCol w:w="2500"/>
        <w:gridCol w:w="35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 (Frozen)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 Experiment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 ECE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63.48%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3.34% (isotonic calibration)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False automatic responses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18 (best policy — fails zero-false-auto safety condition)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Promoted to validation?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— rejected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The V2 result is retained as a rejected development experiment. An improvement in one development diagnostic (calibration ECE) did not establish a safe routing policy. The observed false automatic responses were incompatible with the project safety condition.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12. Production Readiness and Limitations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C0392B" w:sz="8"/>
              <w:left w:val="thick" w:color="C0392B" w:sz="20"/>
              <w:bottom w:val="single" w:color="BDC3C7" w:sz="1"/>
              <w:right w:val="single" w:color="BDC3C7" w:sz="1"/>
            </w:tcBorders>
            <w:shd w:fill="FADBD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V1 is NOT PRODUCTION-READY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Safety takes priority over automation. The 30% future automation target is an OWNER FUTURE TARGET — NOT A MEASURED RESULT.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Explicit Limitations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Business outcomes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FCR, CSAT, customer first-response time, production availability, load/alert performance, and backup/recovery performance are NOT MEASURED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Validation response quality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Hallucination, semantic citation accuracy, usefulness, and correctness on validation are NOT MEASURED (no released auto-responses)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Production API authentication, authorization, and rate limiting are absent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Classification quality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Urgency accuracy 42.5%; calibration ECE ~42.3 pp — both materially weak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Automation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Safe non-zero automation is unproven: 0% validation automation, 100% escalation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Usefulness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Development-only usefulness 2.87/5 — explicitly too low for production in owner's view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Fairness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Evidence is preliminary; fairness gate not proven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Provider evidence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Component-level development smoke evidence only — not end-to-end validation or production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13. Owner-Approved Recommendation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1E8449" w:sz="8"/>
              <w:left w:val="thick" w:color="1E8449" w:sz="20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LIMITED SUPERVISED PILOT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A pilot must retain: human oversight, explicit escalation and override, monitored outcomes, stop conditions, accountable reviewers, and appropriate customer/data handling controls. Safety is prioritized over automation. Human reviewers retain final accountability for customer-impacting decisions.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Pre-Production Requirements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Before any production decision, the following remain unresolved: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Stronger urgency and calibration evidence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Demonstrated safe non-zero automation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Improved usefulness (above 2.87/5 development baseline)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Adequately powered fairness evidence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API authentication, authorization, and rate limiting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Production load and availability evidence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Alert delivery evidence</w:t>
      </w:r>
    </w:p>
    <w:p>
      <w:pPr>
        <w:spacing w:after="40" w:before="40"/>
        <w:ind w:left="360" w:hanging="240"/>
      </w:pPr>
      <w:r>
        <w:rPr>
          <w:b/>
          <w:bCs/>
          <w:color w:val="2E86C1"/>
          <w:sz w:val="20"/>
          <w:szCs w:val="20"/>
        </w:rPr>
        <w:t xml:space="preserve">•  </w:t>
      </w:r>
      <w:r>
        <w:rPr>
          <w:color w:val="1A1A1A"/>
          <w:sz w:val="20"/>
          <w:szCs w:val="20"/>
        </w:rPr>
        <w:t xml:space="preserve">Backup and recovery testing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14. Owner-Confirmed Reflection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Strongest decisions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Auditability, monitoring, and governance through a fail-closed design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Key learnings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Strong retrieval/citations did not guarantee useful answers; improved calibration did not guarantee safe automation; infrastructure could invalidate evaluation; safe automation was harder than expected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If restarting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Introduce monitoring and governance earlier; improve discovery through workflow review, an acceptance checklist, and an earlier pilot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15. AI-Use Declaration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ChatGPT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Planning, review, analysis, documentation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Codex in VS Code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Implementation, debugging, testing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Planning, review, debugging, analysis, documentation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All AI tools served as development support rather than a substitute for accountable project decisions. The owner reviewed all assistance, corrected or rejected suggestions conflicting with evidence, safety, or requirements, and retained final accountability.</w:t>
      </w:r>
    </w:p>
    <w:p>
      <w:pPr>
        <w:spacing w:after="120" w:before="60"/>
        <w:jc w:val="both"/>
      </w:pPr>
      <w:r>
        <w:rPr>
          <w:b w:val="false"/>
          <w:bCs w:val="false"/>
          <w:color w:val="1A1A1A"/>
          <w:sz w:val="20"/>
          <w:szCs w:val="20"/>
        </w:rPr>
        <w:t xml:space="preserve">Owner verification date: 12 September 2026. Complete declaration retained in docs/ai_use_declaration.md.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Appendix A — Validation Classification Confusion Matrices</w:t>
      </w:r>
    </w:p>
    <w:p>
      <w:pPr>
        <w:spacing w:after="120" w:before="60"/>
        <w:jc w:val="both"/>
      </w:pPr>
      <w:r>
        <w:rPr>
          <w:b w:val="false"/>
          <w:bCs w:val="false"/>
          <w:color w:val="5D6D7E"/>
          <w:sz w:val="20"/>
          <w:szCs w:val="20"/>
        </w:rPr>
        <w:t xml:space="preserve">Method: matrices derived by joining preserved rerun records to supplied validation labels on ticket_id. All 80 IDs reconciled. No inference, validation rerun, V1/threshold change, or hidden-assessment access occurred. Rows are actual labels; columns are predicted labels.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A.1 Intent Confusion Matrix —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thick" w:color="1E8449" w:sz="8"/>
              <w:left w:val="thick" w:color="1E8449" w:sz="20"/>
              <w:bottom w:val="single" w:color="BDC3C7" w:sz="1"/>
              <w:right w:val="single" w:color="BDC3C7" w:sz="1"/>
            </w:tcBorders>
            <w:shd w:fill="D5F5E3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Perfect Classification</w:t>
            </w:r>
          </w:p>
          <w:p>
            <w:pPr>
              <w:spacing w:after="0" w:before="0"/>
            </w:pPr>
            <w:r>
              <w:rPr>
                <w:color w:val="1A1A1A"/>
                <w:sz w:val="18"/>
                <w:szCs w:val="18"/>
              </w:rPr>
              <w:t xml:space="preserve">All 80 intent predictions fall on the diagonal. Every represented class has precision, recall, and F1 of 1.000. Derived macro precision: 100.0%.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3600"/>
        <w:gridCol w:w="1000"/>
        <w:gridCol w:w="1500"/>
        <w:gridCol w:w="1500"/>
        <w:gridCol w:w="16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Intent Class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Support (n)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I01 account_access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I02 api_key_issue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I03 api_usage_question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I04 authentication_failure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I05 billing_query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I06 compliance_request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I07 configuration_help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I08 data_export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I09 data_residency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I10 database_issue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I11 deployment_failure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I12 feature_request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I13 integration_help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I14 onboarding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I15 performance_degradation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I16 quota_or_overage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I17 rate_limit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I18 rollback_request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I19 security_incident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I20 sso_configuration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I21 unclear_request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I22 webhook_issue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MACRO AVERAGE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86C1"/>
          <w:sz w:val="24"/>
          <w:szCs w:val="24"/>
        </w:rPr>
        <w:t xml:space="preserve">A.2 Urgency Confusion Matrix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500"/>
        <w:gridCol w:w="1900"/>
        <w:gridCol w:w="1900"/>
        <w:gridCol w:w="1900"/>
        <w:gridCol w:w="10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\ Predicted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Predicted High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Predicted Medium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Predicted Low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Predicted Total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2500"/>
        <w:gridCol w:w="1000"/>
        <w:gridCol w:w="2000"/>
        <w:gridCol w:w="2000"/>
        <w:gridCol w:w="17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Urgency Class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45.0%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36.0%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40.0%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47.2%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48.6%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47.9%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33.3%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40.0%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36.4%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MACRO AVERAGE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41.852%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41.524%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41.417%</w:t>
            </w:r>
          </w:p>
        </w:tc>
      </w:tr>
    </w:tbl>
    <w:p>
      <w:pPr>
        <w:spacing w:after="120" w:before="60"/>
        <w:jc w:val="both"/>
      </w:pPr>
      <w:r>
        <w:rPr>
          <w:b w:val="false"/>
          <w:bCs w:val="false"/>
          <w:color w:val="5D6D7E"/>
          <w:sz w:val="20"/>
          <w:szCs w:val="20"/>
        </w:rPr>
        <w:t xml:space="preserve">Urgency diagonal: 34/80 = 42.5%; derived macro F1: 41.417%.</w:t>
      </w:r>
    </w:p>
    <w:p>
      <w:r>
        <w:br/>
        <w:t xml:space="preserve"/>
      </w:r>
    </w:p>
    <w:p>
      <w:pPr>
        <w:pStyle w:val="Heading1"/>
        <w:pBdr>
          <w:bottom w:val="single" w:color="2E86C1" w:sz="4" w:space="4"/>
        </w:pBdr>
        <w:spacing w:after="120" w:before="360"/>
      </w:pPr>
      <w:r>
        <w:rPr>
          <w:b/>
          <w:bCs/>
          <w:color w:val="1E3A5F"/>
          <w:sz w:val="32"/>
          <w:szCs w:val="32"/>
        </w:rPr>
        <w:t xml:space="preserve">Appendix B — Detailed Metrics, Human Method, and Traceability</w:t>
      </w:r>
    </w:p>
    <w:tbl>
      <w:tblPr>
        <w:tblW w:type="dxa" w:w="9200"/>
        <w:tblBorders>
          <w:top w:val="single" w:color="1E3A5F" w:sz="2"/>
          <w:left w:val="single" w:color="1E3A5F" w:sz="2"/>
          <w:bottom w:val="single" w:color="1E3A5F" w:sz="2"/>
          <w:right w:val="single" w:color="1E3A5F" w:sz="2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Traceability Item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Authoritative Location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Metric definitions, denominators, and status rules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Authorized technical rerun report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Human-development method and reviewer agreement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Section 7 of this report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A1–A12 acceptance mapping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docs/final_a1_a12_acceptance_audit.md and docs/requirements_traceability.md</w:t>
            </w:r>
          </w:p>
        </w:tc>
      </w:tr>
      <w:tr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Implemented frozen V1 architecture</w:t>
            </w:r>
          </w:p>
        </w:tc>
        <w:tc>
          <w:tcPr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Section 4 of this report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2" w:space="4"/>
      </w:pBdr>
      <w:jc w:val="center"/>
    </w:pPr>
    <w:r>
      <w:rPr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6"/>
        <w:szCs w:val="16"/>
      </w:rPr>
      <w:t xml:space="preserve"> of </w:t>
    </w:r>
    <w:r>
      <w:rPr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color w:val="5D6D7E"/>
        <w:sz w:val="16"/>
        <w:szCs w:val="16"/>
      </w:rPr>
      <w:t xml:space="preserve">CloudServe Support Automation — Capstone Report</w:t>
    </w:r>
    <w:r>
      <w:rPr>
        <w:color w:val="5D6D7E"/>
        <w:sz w:val="16"/>
        <w:szCs w:val="16"/>
      </w:rPr>
      <w:t xml:space="preserve">  |  Mimoh Naik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CloudServe Support Automation — Capstone Report</dc:title>
  <dc:creator>Mimoh Naik</dc:creator>
  <dc:description>FDE Capstone — IIT Roorkee FDAIE 2026</dc:description>
  <cp:lastModifiedBy>Un-named</cp:lastModifiedBy>
  <cp:revision>1</cp:revision>
  <dcterms:created xsi:type="dcterms:W3CDTF">2026-09-13T12:18:24.730Z</dcterms:created>
  <dcterms:modified xsi:type="dcterms:W3CDTF">2026-09-13T12:18:24.739Z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