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</w:rPr>
        <w:t xml:space="preserve">AIIP — Propuesta de nuevos signos de alarma (a partir del proyecto PIDCAP)</w:t>
      </w:r>
    </w:p>
    <w:p>
      <w:pPr>
        <w:spacing w:after="20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Documento preparado por Marcos de la Torre para Jacques Rivière, en el marco del TFM “AIIP — Asistente Inteligente de Inmunodeficiencias Primarias”.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Al revisar tus comentarios sobre los criterios diagnósticos generales, sugeriste el paper del proyecto PIDCAP (del que eres coautor) como fuente válida tanto para población infantil como adulta:</w:t>
      </w:r>
    </w:p>
    <w:p>
      <w:pPr>
        <w:spacing w:after="20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Rivière JG, Carot-Sans G, Piera-Jiménez J, de la Torre S, PIDCAP expert group, Cos X, Serra-Picaman X, Soler-Palacín P. Development of an Expert-Based Scoring System for Early Identification of Patients with Inborn Errors of Immunity in Primary Care Settings — the PIDCAP Project. J Clin Immunol. 2024;45(1):26.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Hemos revisado los dos paneles de consenso experto del paper (Fig. 1, población infantil, 16 respondientes; Fig. 2, población adulta, 10 respondientes) y los hemos comparado con la lista de signos de alarma que ya tenemos en AIIP. Muchos ítems del PIDCAP ya estaban cubiertos por signos existentes (a veces con otra redacción) — por ejemplo, “bronquiectasias sin fibrosis quística” en adultos coincide casi textualmente con lo que ya teníamos, lo cual valida ese signo.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Por debajo te proponemos incorporar los ítems con alto consenso entre los expertos del panel que NO se solapan con ningún signo que ya tuviéramos. Cualquier matiz en la redacción o el umbral es bienvenido.</w:t>
      </w:r>
    </w:p>
    <w:p>
      <w:pPr>
        <w:pStyle w:val="Heading2"/>
      </w:pPr>
      <w:r>
        <w:rPr>
          <w:rFonts w:ascii="Arial" w:cs="Arial" w:eastAsia="Arial" w:hAnsi="Arial"/>
        </w:rPr>
        <w:t xml:space="preserve">Nuevos signos propuestos — población infantil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Signo propuesto (redacción coloquial)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Origen / justificación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Dos o más sinusitis, o una celulitis alrededor del ojo, al año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PIDCAP infantil — alto consenso, no cubierto (actualmente solo tenemos sinusitis para adultos)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Dos o más neumonías al año, o tres en dos años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PIDCAP infantil — alto consenso, no cubierto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Abscesos profundos en algún órgano interno, en ganglios o debajo de la piel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PIDCAP infantil — alto consenso, no cubierto (no teníamos ningún signo de abscesos)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Tres o más ingresos hospitalarios en un año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PIDCAP infantil — alto consenso, no cubierto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Antecedentes familiares de problemas parecidos (cánceres de la sangre, infecciones graves repetidas, etc.)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PIDCAP infantil — alto consenso, no cubierto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Infección vírica de la piel crónica o repetida (verrugas, herpes, etc.), tres o más episodios al año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PIDCAP infantil — alto consenso, no cubierto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Enfermedad inflamatoria intestinal, antes o después de los 2 años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PIDCAP infantil — alto consenso, no cubierto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Bronquiectasias sin tener fibrosis quística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PIDCAP infantil — alto consenso; ya la teníamos para adultos pero no para infantil</w:t>
            </w:r>
          </w:p>
        </w:tc>
      </w:tr>
    </w:tbl>
    <w:p>
      <w:pPr>
        <w:spacing w:before="300"/>
      </w:pPr>
    </w:p>
    <w:p>
      <w:pPr>
        <w:pStyle w:val="Heading2"/>
      </w:pPr>
      <w:r>
        <w:rPr>
          <w:rFonts w:ascii="Arial" w:cs="Arial" w:eastAsia="Arial" w:hAnsi="Arial"/>
        </w:rPr>
        <w:t xml:space="preserve">Nuevos signos propuestos — población adulta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Signo propuesto (redacción coloquial)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Origen / justificación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Abscesos profundos en algún órgano o ganglión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PIDCAP adulto — alto consenso, no cubierto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Infecciones víricas repetidas (resfriados, herpes, verrugas, condilomas), seis o más al año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PIDCAP adulto — alto consenso, no cubierto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Tres o más ingresos hospitalarios en un año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PIDCAP adulto — alto consenso, no cubierto</w:t>
            </w:r>
          </w:p>
        </w:tc>
      </w:tr>
    </w:tbl>
    <w:p>
      <w:pPr>
        <w:spacing w:before="300"/>
      </w:pPr>
    </w:p>
    <w:p>
      <w:pPr>
        <w:pStyle w:val="Heading2"/>
      </w:pPr>
      <w:r>
        <w:rPr>
          <w:rFonts w:ascii="Arial" w:cs="Arial" w:eastAsia="Arial" w:hAnsi="Arial"/>
        </w:rPr>
        <w:t xml:space="preserve">Nota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Los ítems de “abscesos profundos” y “tres o más ingresos hospitalarios al año” aparecen en ambos paneles (infantil y adulto) con la misma redacción — es posible que acaben siendo un único signo compartido entre las dos poblaciones en vez de una entrada por cada una.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No hemos incluido ítems del PIDCAP con consenso mixto o bajo entre los expertos (por ejemplo, intolerancias/alergias alimentarias, citopenia, enfermedades autoinmunes sistémicas, neoplasias) para esta primera ronda — si te parece que alguno debería entrar igualmente, dinos cuál.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Gracias de nuevo por el tiempo dedicado a este proyecto.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2026-07-06T14:37:11.135Z</dcterms:created>
  <dcterms:modified xsi:type="dcterms:W3CDTF">2026-07-06T14:37:11.135Z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