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CC36" w14:textId="0034543A" w:rsidR="00BC2999" w:rsidRDefault="00000000">
      <w:pPr>
        <w:spacing w:before="480" w:after="120"/>
        <w:jc w:val="center"/>
      </w:pPr>
      <w:r>
        <w:rPr>
          <w:rFonts w:ascii="Arial" w:eastAsia="Arial" w:hAnsi="Arial" w:cs="Arial"/>
          <w:b/>
          <w:bCs/>
          <w:color w:val="1F3864"/>
          <w:sz w:val="36"/>
          <w:szCs w:val="36"/>
        </w:rPr>
        <w:t xml:space="preserve">RÉSUMÉ </w:t>
      </w:r>
    </w:p>
    <w:p w14:paraId="4E23D8B5" w14:textId="77777777" w:rsidR="00BC2999" w:rsidRDefault="00000000">
      <w:pPr>
        <w:spacing w:after="80"/>
        <w:jc w:val="center"/>
      </w:pPr>
      <w:r>
        <w:rPr>
          <w:rFonts w:ascii="Arial" w:eastAsia="Arial" w:hAnsi="Arial" w:cs="Arial"/>
          <w:b/>
          <w:bCs/>
          <w:color w:val="2E5096"/>
          <w:sz w:val="30"/>
          <w:szCs w:val="30"/>
        </w:rPr>
        <w:t xml:space="preserve">Scientific </w:t>
      </w:r>
      <w:proofErr w:type="spellStart"/>
      <w:r>
        <w:rPr>
          <w:rFonts w:ascii="Arial" w:eastAsia="Arial" w:hAnsi="Arial" w:cs="Arial"/>
          <w:b/>
          <w:bCs/>
          <w:color w:val="2E5096"/>
          <w:sz w:val="30"/>
          <w:szCs w:val="30"/>
        </w:rPr>
        <w:t>Computing</w:t>
      </w:r>
      <w:proofErr w:type="spellEnd"/>
      <w:r>
        <w:rPr>
          <w:rFonts w:ascii="Arial" w:eastAsia="Arial" w:hAnsi="Arial" w:cs="Arial"/>
          <w:b/>
          <w:bCs/>
          <w:color w:val="2E5096"/>
          <w:sz w:val="30"/>
          <w:szCs w:val="30"/>
        </w:rPr>
        <w:t xml:space="preserve"> </w:t>
      </w:r>
      <w:proofErr w:type="spellStart"/>
      <w:r>
        <w:rPr>
          <w:rFonts w:ascii="Arial" w:eastAsia="Arial" w:hAnsi="Arial" w:cs="Arial"/>
          <w:b/>
          <w:bCs/>
          <w:color w:val="2E5096"/>
          <w:sz w:val="30"/>
          <w:szCs w:val="30"/>
        </w:rPr>
        <w:t>with</w:t>
      </w:r>
      <w:proofErr w:type="spellEnd"/>
      <w:r>
        <w:rPr>
          <w:rFonts w:ascii="Arial" w:eastAsia="Arial" w:hAnsi="Arial" w:cs="Arial"/>
          <w:b/>
          <w:bCs/>
          <w:color w:val="2E5096"/>
          <w:sz w:val="30"/>
          <w:szCs w:val="30"/>
        </w:rPr>
        <w:t xml:space="preserve"> Python — Deuxième Édition</w:t>
      </w:r>
    </w:p>
    <w:p w14:paraId="503D6E38" w14:textId="77777777" w:rsidR="00BC2999" w:rsidRDefault="00000000">
      <w:pPr>
        <w:spacing w:after="80"/>
        <w:jc w:val="center"/>
      </w:pPr>
      <w:r>
        <w:rPr>
          <w:rFonts w:ascii="Arial" w:eastAsia="Arial" w:hAnsi="Arial" w:cs="Arial"/>
          <w:i/>
          <w:iCs/>
          <w:color w:val="555555"/>
        </w:rPr>
        <w:t xml:space="preserve">High-performance </w:t>
      </w:r>
      <w:proofErr w:type="spellStart"/>
      <w:r>
        <w:rPr>
          <w:rFonts w:ascii="Arial" w:eastAsia="Arial" w:hAnsi="Arial" w:cs="Arial"/>
          <w:i/>
          <w:iCs/>
          <w:color w:val="555555"/>
        </w:rPr>
        <w:t>scientific</w:t>
      </w:r>
      <w:proofErr w:type="spellEnd"/>
      <w:r>
        <w:rPr>
          <w:rFonts w:ascii="Arial" w:eastAsia="Arial" w:hAnsi="Arial" w:cs="Arial"/>
          <w:i/>
          <w:iCs/>
          <w:color w:val="555555"/>
        </w:rPr>
        <w:t xml:space="preserve"> </w:t>
      </w:r>
      <w:proofErr w:type="spellStart"/>
      <w:r>
        <w:rPr>
          <w:rFonts w:ascii="Arial" w:eastAsia="Arial" w:hAnsi="Arial" w:cs="Arial"/>
          <w:i/>
          <w:iCs/>
          <w:color w:val="555555"/>
        </w:rPr>
        <w:t>computing</w:t>
      </w:r>
      <w:proofErr w:type="spellEnd"/>
      <w:r>
        <w:rPr>
          <w:rFonts w:ascii="Arial" w:eastAsia="Arial" w:hAnsi="Arial" w:cs="Arial"/>
          <w:i/>
          <w:iCs/>
          <w:color w:val="555555"/>
        </w:rPr>
        <w:t xml:space="preserve"> </w:t>
      </w:r>
      <w:proofErr w:type="spellStart"/>
      <w:r>
        <w:rPr>
          <w:rFonts w:ascii="Arial" w:eastAsia="Arial" w:hAnsi="Arial" w:cs="Arial"/>
          <w:i/>
          <w:iCs/>
          <w:color w:val="555555"/>
        </w:rPr>
        <w:t>with</w:t>
      </w:r>
      <w:proofErr w:type="spellEnd"/>
      <w:r>
        <w:rPr>
          <w:rFonts w:ascii="Arial" w:eastAsia="Arial" w:hAnsi="Arial" w:cs="Arial"/>
          <w:i/>
          <w:iCs/>
          <w:color w:val="555555"/>
        </w:rPr>
        <w:t xml:space="preserve"> </w:t>
      </w:r>
      <w:proofErr w:type="spellStart"/>
      <w:r>
        <w:rPr>
          <w:rFonts w:ascii="Arial" w:eastAsia="Arial" w:hAnsi="Arial" w:cs="Arial"/>
          <w:i/>
          <w:iCs/>
          <w:color w:val="555555"/>
        </w:rPr>
        <w:t>NumPy</w:t>
      </w:r>
      <w:proofErr w:type="spellEnd"/>
      <w:r>
        <w:rPr>
          <w:rFonts w:ascii="Arial" w:eastAsia="Arial" w:hAnsi="Arial" w:cs="Arial"/>
          <w:i/>
          <w:iCs/>
          <w:color w:val="555555"/>
        </w:rPr>
        <w:t xml:space="preserve">, </w:t>
      </w:r>
      <w:proofErr w:type="spellStart"/>
      <w:r>
        <w:rPr>
          <w:rFonts w:ascii="Arial" w:eastAsia="Arial" w:hAnsi="Arial" w:cs="Arial"/>
          <w:i/>
          <w:iCs/>
          <w:color w:val="555555"/>
        </w:rPr>
        <w:t>SciPy</w:t>
      </w:r>
      <w:proofErr w:type="spellEnd"/>
      <w:r>
        <w:rPr>
          <w:rFonts w:ascii="Arial" w:eastAsia="Arial" w:hAnsi="Arial" w:cs="Arial"/>
          <w:i/>
          <w:iCs/>
          <w:color w:val="555555"/>
        </w:rPr>
        <w:t>, and pandas</w:t>
      </w:r>
    </w:p>
    <w:p w14:paraId="5FBA4BB5" w14:textId="77777777" w:rsidR="00BC2999" w:rsidRDefault="00000000">
      <w:pPr>
        <w:spacing w:before="80" w:after="80"/>
        <w:jc w:val="center"/>
      </w:pPr>
      <w:r>
        <w:rPr>
          <w:rFonts w:ascii="Arial" w:eastAsia="Arial" w:hAnsi="Arial" w:cs="Arial"/>
          <w:color w:val="333333"/>
          <w:sz w:val="22"/>
          <w:szCs w:val="22"/>
        </w:rPr>
        <w:t xml:space="preserve">Claus Führer · Jan Erik </w:t>
      </w:r>
      <w:proofErr w:type="spellStart"/>
      <w:r>
        <w:rPr>
          <w:rFonts w:ascii="Arial" w:eastAsia="Arial" w:hAnsi="Arial" w:cs="Arial"/>
          <w:color w:val="333333"/>
          <w:sz w:val="22"/>
          <w:szCs w:val="22"/>
        </w:rPr>
        <w:t>Solem</w:t>
      </w:r>
      <w:proofErr w:type="spellEnd"/>
      <w:r>
        <w:rPr>
          <w:rFonts w:ascii="Arial" w:eastAsia="Arial" w:hAnsi="Arial" w:cs="Arial"/>
          <w:color w:val="333333"/>
          <w:sz w:val="22"/>
          <w:szCs w:val="22"/>
        </w:rPr>
        <w:t xml:space="preserve"> · Olivier Verdier</w:t>
      </w:r>
    </w:p>
    <w:p w14:paraId="08F75824" w14:textId="77777777" w:rsidR="00BC2999" w:rsidRDefault="00000000">
      <w:pPr>
        <w:spacing w:after="480"/>
        <w:jc w:val="center"/>
      </w:pPr>
      <w:proofErr w:type="spellStart"/>
      <w:r>
        <w:rPr>
          <w:rFonts w:ascii="Arial" w:eastAsia="Arial" w:hAnsi="Arial" w:cs="Arial"/>
          <w:color w:val="888888"/>
          <w:sz w:val="20"/>
          <w:szCs w:val="20"/>
        </w:rPr>
        <w:t>Packt</w:t>
      </w:r>
      <w:proofErr w:type="spellEnd"/>
      <w:r>
        <w:rPr>
          <w:rFonts w:ascii="Arial" w:eastAsia="Arial" w:hAnsi="Arial" w:cs="Arial"/>
          <w:color w:val="888888"/>
          <w:sz w:val="20"/>
          <w:szCs w:val="20"/>
        </w:rPr>
        <w:t xml:space="preserve"> </w:t>
      </w:r>
      <w:proofErr w:type="spellStart"/>
      <w:r>
        <w:rPr>
          <w:rFonts w:ascii="Arial" w:eastAsia="Arial" w:hAnsi="Arial" w:cs="Arial"/>
          <w:color w:val="888888"/>
          <w:sz w:val="20"/>
          <w:szCs w:val="20"/>
        </w:rPr>
        <w:t>Publishing</w:t>
      </w:r>
      <w:proofErr w:type="spellEnd"/>
      <w:r>
        <w:rPr>
          <w:rFonts w:ascii="Arial" w:eastAsia="Arial" w:hAnsi="Arial" w:cs="Arial"/>
          <w:color w:val="888888"/>
          <w:sz w:val="20"/>
          <w:szCs w:val="20"/>
        </w:rPr>
        <w:t>, 2e édition, juillet 2021 — 374 pages</w:t>
      </w:r>
    </w:p>
    <w:p w14:paraId="13FD1A73" w14:textId="77777777" w:rsidR="00BC2999" w:rsidRDefault="00000000">
      <w:pPr>
        <w:pStyle w:val="Titre1"/>
      </w:pPr>
      <w:r>
        <w:t>1. Présentation générale de l'ouvrage</w:t>
      </w:r>
    </w:p>
    <w:p w14:paraId="6FEC582F" w14:textId="77777777" w:rsidR="00BC2999" w:rsidRDefault="00000000">
      <w:pPr>
        <w:spacing w:before="120" w:after="240"/>
        <w:jc w:val="both"/>
      </w:pPr>
      <w:r>
        <w:t xml:space="preserve">Scientific </w:t>
      </w:r>
      <w:proofErr w:type="spellStart"/>
      <w:r>
        <w:t>Computing</w:t>
      </w:r>
      <w:proofErr w:type="spellEnd"/>
      <w:r>
        <w:t xml:space="preserve"> </w:t>
      </w:r>
      <w:proofErr w:type="spellStart"/>
      <w:r>
        <w:t>with</w:t>
      </w:r>
      <w:proofErr w:type="spellEnd"/>
      <w:r>
        <w:t xml:space="preserve"> Python (deuxième édition) est un ouvrage de référence destiné aux scientifiques, ingénieurs, chercheurs et enseignants souhaitant exploiter pleinement l'écosystème Python pour le calcul scientifique haute performance. Rédigé par trois universitaires — Claus Führer (Université de Lund, Suède), Jan Erik </w:t>
      </w:r>
      <w:proofErr w:type="spellStart"/>
      <w:r>
        <w:t>Solem</w:t>
      </w:r>
      <w:proofErr w:type="spellEnd"/>
      <w:r>
        <w:t xml:space="preserve"> (ancien professeur et spécialiste de vision par ordinateur) et Olivier Verdier (Université de Bergen, Norvège) — le livre s'appuie sur treize années d'enseignement de Python dans des cursus scientifiques et d'ingénierie. Cette seconde édition enrichit la première avec de nouveaux chapitres sur les interfaces graphiques, le traitement efficace des données et le calcul parallèle.</w:t>
      </w:r>
    </w:p>
    <w:p w14:paraId="58FFFBEF" w14:textId="77777777" w:rsidR="00BC2999" w:rsidRDefault="00000000">
      <w:pPr>
        <w:spacing w:after="240"/>
        <w:jc w:val="both"/>
      </w:pPr>
      <w:r>
        <w:t>L'ouvrage s'adresse à un lectorat possédant une culture mathématique de base (algèbre linéaire, notions de convergence, processus itératifs) et souhaitant acquérir une maîtrise opérationnelle de Python pour des applications telles que l'analyse numérique, le traitement de données massives, la simulation et l'apprentissage automatique. La progression pédagogique allie rigueur conceptuelle et exemples applicatifs concrets, en couvrant aussi bien les fondements du langage que les bibliothèques scientifiques avancées.</w:t>
      </w:r>
    </w:p>
    <w:p w14:paraId="6F70D936" w14:textId="77777777" w:rsidR="00BC2999" w:rsidRDefault="00000000">
      <w:pPr>
        <w:pStyle w:val="Titre1"/>
      </w:pPr>
      <w:r>
        <w:t>2. Organisation et structure de l'ouvrage</w:t>
      </w:r>
    </w:p>
    <w:p w14:paraId="5749E134" w14:textId="77777777" w:rsidR="00BC2999" w:rsidRDefault="00000000">
      <w:pPr>
        <w:spacing w:before="120" w:after="120"/>
        <w:jc w:val="both"/>
      </w:pPr>
      <w:r>
        <w:t xml:space="preserve">Le livre se structure en dix-neuf chapitres, </w:t>
      </w:r>
      <w:proofErr w:type="spellStart"/>
      <w:r>
        <w:t>regroupables</w:t>
      </w:r>
      <w:proofErr w:type="spellEnd"/>
      <w:r>
        <w:t xml:space="preserve"> en cinq grandes parties thématiques :</w:t>
      </w:r>
    </w:p>
    <w:p w14:paraId="48517A02" w14:textId="77777777" w:rsidR="00BC2999" w:rsidRDefault="00000000">
      <w:pPr>
        <w:pStyle w:val="Paragraphedeliste"/>
        <w:numPr>
          <w:ilvl w:val="0"/>
          <w:numId w:val="2"/>
        </w:numPr>
      </w:pPr>
      <w:r>
        <w:t>Fondements du langage Python (chapitres 1–3 et 7–9)</w:t>
      </w:r>
    </w:p>
    <w:p w14:paraId="78C26AB3" w14:textId="77777777" w:rsidR="00BC2999" w:rsidRDefault="00000000">
      <w:pPr>
        <w:pStyle w:val="Paragraphedeliste"/>
        <w:numPr>
          <w:ilvl w:val="0"/>
          <w:numId w:val="2"/>
        </w:numPr>
      </w:pPr>
      <w:r>
        <w:t xml:space="preserve">Calcul numérique avec </w:t>
      </w:r>
      <w:proofErr w:type="spellStart"/>
      <w:r>
        <w:t>NumPy</w:t>
      </w:r>
      <w:proofErr w:type="spellEnd"/>
      <w:r>
        <w:t xml:space="preserve"> et </w:t>
      </w:r>
      <w:proofErr w:type="spellStart"/>
      <w:r>
        <w:t>SciPy</w:t>
      </w:r>
      <w:proofErr w:type="spellEnd"/>
      <w:r>
        <w:t xml:space="preserve"> (chapitres 4–5)</w:t>
      </w:r>
    </w:p>
    <w:p w14:paraId="55845C46" w14:textId="77777777" w:rsidR="00BC2999" w:rsidRDefault="00000000">
      <w:pPr>
        <w:pStyle w:val="Paragraphedeliste"/>
        <w:numPr>
          <w:ilvl w:val="0"/>
          <w:numId w:val="2"/>
        </w:numPr>
      </w:pPr>
      <w:r>
        <w:t>Visualisation, interfaces et données (chapitres 6, 10–11)</w:t>
      </w:r>
    </w:p>
    <w:p w14:paraId="51D4BE06" w14:textId="77777777" w:rsidR="00BC2999" w:rsidRDefault="00000000">
      <w:pPr>
        <w:pStyle w:val="Paragraphedeliste"/>
        <w:numPr>
          <w:ilvl w:val="0"/>
          <w:numId w:val="2"/>
        </w:numPr>
      </w:pPr>
      <w:r>
        <w:t>Ingénierie logicielle et bonnes pratiques (chapitres 12–17)</w:t>
      </w:r>
    </w:p>
    <w:p w14:paraId="698AC8CA" w14:textId="77777777" w:rsidR="00BC2999" w:rsidRDefault="00000000">
      <w:pPr>
        <w:pStyle w:val="Paragraphedeliste"/>
        <w:numPr>
          <w:ilvl w:val="0"/>
          <w:numId w:val="2"/>
        </w:numPr>
        <w:spacing w:after="240"/>
      </w:pPr>
      <w:r>
        <w:t>Calcul parallèle et exemples approfondis (chapitres 18–19)</w:t>
      </w:r>
    </w:p>
    <w:p w14:paraId="0C45DAB5" w14:textId="77777777" w:rsidR="00BC2999" w:rsidRDefault="00000000">
      <w:pPr>
        <w:pStyle w:val="Titre1"/>
      </w:pPr>
      <w:r>
        <w:t>3. Analyse détaillée des chapitres</w:t>
      </w:r>
    </w:p>
    <w:p w14:paraId="6EE405C0" w14:textId="77777777" w:rsidR="00BC2999" w:rsidRDefault="00000000">
      <w:pPr>
        <w:pStyle w:val="Titre2"/>
      </w:pPr>
      <w:r>
        <w:t>Chapitre 1 — Prise en main de Python</w:t>
      </w:r>
    </w:p>
    <w:p w14:paraId="3CBD9933" w14:textId="77777777" w:rsidR="00BC2999" w:rsidRDefault="00000000">
      <w:pPr>
        <w:spacing w:before="100" w:after="200"/>
        <w:jc w:val="both"/>
      </w:pPr>
      <w:r>
        <w:t xml:space="preserve">Le premier chapitre constitue une introduction synthétique à l'environnement de développement recommandé, en particulier la distribution Anaconda et l'éditeur intégré </w:t>
      </w:r>
      <w:proofErr w:type="spellStart"/>
      <w:r>
        <w:t>Spyder</w:t>
      </w:r>
      <w:proofErr w:type="spellEnd"/>
      <w:r>
        <w:t xml:space="preserve">. Il présente les constructions syntaxiques fondamentales : flot de programme, branchements conditionnels, boucles, fonctions, scripts et modules. La convention adoptée dès ce chapitre — l'importation globale de </w:t>
      </w:r>
      <w:proofErr w:type="spellStart"/>
      <w:r>
        <w:t>NumPy</w:t>
      </w:r>
      <w:proofErr w:type="spellEnd"/>
      <w:r>
        <w:t xml:space="preserve"> et </w:t>
      </w:r>
      <w:proofErr w:type="spellStart"/>
      <w:r>
        <w:t>Matplotlib</w:t>
      </w:r>
      <w:proofErr w:type="spellEnd"/>
      <w:r>
        <w:t xml:space="preserve"> — garantit une cohérence avec le reste de l'ouvrage. L'accent est mis sur les outils interactifs </w:t>
      </w:r>
      <w:proofErr w:type="spellStart"/>
      <w:r>
        <w:t>IPython</w:t>
      </w:r>
      <w:proofErr w:type="spellEnd"/>
      <w:r>
        <w:t xml:space="preserve"> et </w:t>
      </w:r>
      <w:proofErr w:type="spellStart"/>
      <w:r>
        <w:t>Jupyter</w:t>
      </w:r>
      <w:proofErr w:type="spellEnd"/>
      <w:r>
        <w:t xml:space="preserve"> Notebook, qui facilitent l'exploration et la documentation du code scientifique.</w:t>
      </w:r>
    </w:p>
    <w:p w14:paraId="50AB1C82" w14:textId="77777777" w:rsidR="00BC2999" w:rsidRDefault="00000000">
      <w:pPr>
        <w:pStyle w:val="Titre2"/>
      </w:pPr>
      <w:r>
        <w:lastRenderedPageBreak/>
        <w:t>Chapitres 2–3 — Types de base et types conteneurs</w:t>
      </w:r>
    </w:p>
    <w:p w14:paraId="4F717F0B" w14:textId="77777777" w:rsidR="00BC2999" w:rsidRDefault="00000000">
      <w:pPr>
        <w:spacing w:before="100" w:after="200"/>
        <w:jc w:val="both"/>
      </w:pPr>
      <w:r>
        <w:t>Le chapitre 2 détaille les types scalaires essentiels au calcul scientifique : flottants (</w:t>
      </w:r>
      <w:proofErr w:type="spellStart"/>
      <w:r>
        <w:t>float</w:t>
      </w:r>
      <w:proofErr w:type="spellEnd"/>
      <w:r>
        <w:t xml:space="preserve">), entiers, complexes, booléens et chaînes de caractères. Une attention particulière est accordée aux valeurs spéciales nan (Not a </w:t>
      </w:r>
      <w:proofErr w:type="spellStart"/>
      <w:r>
        <w:t>Number</w:t>
      </w:r>
      <w:proofErr w:type="spellEnd"/>
      <w:r>
        <w:t xml:space="preserve">) et </w:t>
      </w:r>
      <w:proofErr w:type="spellStart"/>
      <w:r>
        <w:t>inf</w:t>
      </w:r>
      <w:proofErr w:type="spellEnd"/>
      <w:r>
        <w:t>, omniprésentes dans les algorithmes numériques. Le chapitre 3 traite des types conteneurs — listes, tuples, dictionnaires et ensembles — en insistant sur l'indexation, le découpage (</w:t>
      </w:r>
      <w:proofErr w:type="spellStart"/>
      <w:r>
        <w:t>slicing</w:t>
      </w:r>
      <w:proofErr w:type="spellEnd"/>
      <w:r>
        <w:t>) et l'itération. Ces structures natives de Python constituent le socle sur lequel repose toute la manipulation de données et la construction d'algorithmes.</w:t>
      </w:r>
    </w:p>
    <w:p w14:paraId="50239E57" w14:textId="77777777" w:rsidR="00BC2999" w:rsidRDefault="00000000">
      <w:pPr>
        <w:pStyle w:val="Titre2"/>
      </w:pPr>
      <w:r>
        <w:t xml:space="preserve">Chapitres 4–5 — Algèbre linéaire : tableaux </w:t>
      </w:r>
      <w:proofErr w:type="spellStart"/>
      <w:r>
        <w:t>NumPy</w:t>
      </w:r>
      <w:proofErr w:type="spellEnd"/>
      <w:r>
        <w:t xml:space="preserve"> (fondamentaux et avancés)</w:t>
      </w:r>
    </w:p>
    <w:p w14:paraId="017E452D" w14:textId="77777777" w:rsidR="00BC2999" w:rsidRDefault="00000000">
      <w:pPr>
        <w:spacing w:before="100" w:after="200"/>
        <w:jc w:val="both"/>
      </w:pPr>
      <w:r>
        <w:t xml:space="preserve">Ces deux chapitres forment le cœur numérique de l'ouvrage. Le chapitre 4 introduit le tableau </w:t>
      </w:r>
      <w:proofErr w:type="spellStart"/>
      <w:r>
        <w:t>NumPy</w:t>
      </w:r>
      <w:proofErr w:type="spellEnd"/>
      <w:r>
        <w:t xml:space="preserve"> (</w:t>
      </w:r>
      <w:proofErr w:type="spellStart"/>
      <w:r>
        <w:t>ndarray</w:t>
      </w:r>
      <w:proofErr w:type="spellEnd"/>
      <w:r>
        <w:t>) comme outil central pour la représentation de vecteurs, matrices et tenseurs. Il couvre la création de tableaux, les propriétés (forme, dimension, type), l'indexation, le découpage et l'empilement. Les fonctions universelles (</w:t>
      </w:r>
      <w:proofErr w:type="spellStart"/>
      <w:r>
        <w:t>ufunc</w:t>
      </w:r>
      <w:proofErr w:type="spellEnd"/>
      <w:r>
        <w:t xml:space="preserve">) permettant des opérations élément par élément sur des tableaux entiers sont présentées, ainsi que les méthodes d'algèbre linéaire du sous-module </w:t>
      </w:r>
      <w:proofErr w:type="spellStart"/>
      <w:proofErr w:type="gramStart"/>
      <w:r>
        <w:t>scipy.linalg</w:t>
      </w:r>
      <w:proofErr w:type="spellEnd"/>
      <w:proofErr w:type="gramEnd"/>
      <w:r>
        <w:t xml:space="preserve"> : résolution de systèmes linéaires, décomposition LU, décomposition en valeurs singulières (SVD) pour les problèmes aux moindres carrés.</w:t>
      </w:r>
    </w:p>
    <w:p w14:paraId="64309375" w14:textId="77777777" w:rsidR="00BC2999" w:rsidRDefault="00000000">
      <w:pPr>
        <w:spacing w:after="200"/>
        <w:jc w:val="both"/>
      </w:pPr>
      <w:r>
        <w:t>Le chapitre 5 approfondit les concepts avancés : la distinction cruciale entre vues (</w:t>
      </w:r>
      <w:proofErr w:type="spellStart"/>
      <w:r>
        <w:t>views</w:t>
      </w:r>
      <w:proofErr w:type="spellEnd"/>
      <w:r>
        <w:t xml:space="preserve">) et copies (copies), source fréquente d'erreurs dans les codes scientifiques ; les tableaux booléens pour un code compact et expressif ; la vectorisation pour optimiser les performances ; et enfin le broadcasting, mécanisme propre à </w:t>
      </w:r>
      <w:proofErr w:type="spellStart"/>
      <w:r>
        <w:t>NumPy</w:t>
      </w:r>
      <w:proofErr w:type="spellEnd"/>
      <w:r>
        <w:t xml:space="preserve"> qui généralise les opérations entre tableaux de formes différentes. Une section dédiée aux matrices creuses (</w:t>
      </w:r>
      <w:proofErr w:type="spellStart"/>
      <w:r>
        <w:t>sparse</w:t>
      </w:r>
      <w:proofErr w:type="spellEnd"/>
      <w:r>
        <w:t xml:space="preserve"> matrices) via </w:t>
      </w:r>
      <w:proofErr w:type="spellStart"/>
      <w:proofErr w:type="gramStart"/>
      <w:r>
        <w:t>scipy.sparse</w:t>
      </w:r>
      <w:proofErr w:type="spellEnd"/>
      <w:proofErr w:type="gramEnd"/>
      <w:r>
        <w:t xml:space="preserve"> complète ce chapitre, avec les formats CSR, CSC et LIL adaptés aux systèmes de grande taille.</w:t>
      </w:r>
    </w:p>
    <w:p w14:paraId="3695CD9E" w14:textId="77777777" w:rsidR="00BC2999" w:rsidRDefault="00000000">
      <w:pPr>
        <w:pStyle w:val="Titre2"/>
      </w:pPr>
      <w:r>
        <w:t xml:space="preserve">Chapitre 6 — Visualisation scientifique avec </w:t>
      </w:r>
      <w:proofErr w:type="spellStart"/>
      <w:r>
        <w:t>Matplotlib</w:t>
      </w:r>
      <w:proofErr w:type="spellEnd"/>
    </w:p>
    <w:p w14:paraId="2BFDEABC" w14:textId="77777777" w:rsidR="00BC2999" w:rsidRDefault="00000000">
      <w:pPr>
        <w:spacing w:before="100" w:after="200"/>
        <w:jc w:val="both"/>
      </w:pPr>
      <w:r>
        <w:t xml:space="preserve">La visualisation est abordée comme une compétence scientifique à part entière. </w:t>
      </w:r>
      <w:proofErr w:type="spellStart"/>
      <w:r>
        <w:t>Matplotlib</w:t>
      </w:r>
      <w:proofErr w:type="spellEnd"/>
      <w:r>
        <w:t xml:space="preserve"> est présenté à travers son interface </w:t>
      </w:r>
      <w:proofErr w:type="spellStart"/>
      <w:r>
        <w:t>pyplot</w:t>
      </w:r>
      <w:proofErr w:type="spellEnd"/>
      <w:r>
        <w:t xml:space="preserve"> pour les tracés courants (courbes </w:t>
      </w:r>
      <w:proofErr w:type="spellStart"/>
      <w:r>
        <w:t>xy</w:t>
      </w:r>
      <w:proofErr w:type="spellEnd"/>
      <w:r>
        <w:t xml:space="preserve">, histogrammes, contours, surfaces 3D), puis à travers son API orientée objet pour un contrôle fin des figures : création d'axes, modification de propriétés de lignes, annotations, remplissage d'aires, personnalisation des </w:t>
      </w:r>
      <w:proofErr w:type="spellStart"/>
      <w:r>
        <w:t>ticks</w:t>
      </w:r>
      <w:proofErr w:type="spellEnd"/>
      <w:r>
        <w:t xml:space="preserve"> et des grilles. Le chapitre couvre également la création de séquences animées (</w:t>
      </w:r>
      <w:proofErr w:type="spellStart"/>
      <w:r>
        <w:t>movies</w:t>
      </w:r>
      <w:proofErr w:type="spellEnd"/>
      <w:r>
        <w:t xml:space="preserve">) et l'utilisation de </w:t>
      </w:r>
      <w:proofErr w:type="spellStart"/>
      <w:r>
        <w:t>meshgrid</w:t>
      </w:r>
      <w:proofErr w:type="spellEnd"/>
      <w:r>
        <w:t xml:space="preserve"> pour la représentation de fonctions à deux variables. Ces outils sont essentiels pour la communication des résultats dans les publications et les exposés scientifiques.</w:t>
      </w:r>
    </w:p>
    <w:p w14:paraId="4722FAF3" w14:textId="77777777" w:rsidR="00BC2999" w:rsidRDefault="00000000">
      <w:pPr>
        <w:pStyle w:val="Titre2"/>
      </w:pPr>
      <w:r>
        <w:t>Chapitres 7–9 — Fonctions, classes et itération</w:t>
      </w:r>
    </w:p>
    <w:p w14:paraId="24020F26" w14:textId="77777777" w:rsidR="00BC2999" w:rsidRDefault="00000000">
      <w:pPr>
        <w:spacing w:before="100" w:after="200"/>
        <w:jc w:val="both"/>
      </w:pPr>
      <w:r>
        <w:t>Le chapitre 7 établit le parallèle entre les fonctions mathématiques et les fonctions Python. Il traite du passage d'arguments (positionnels, par mots-clés, par défaut, variables), des fonctions récursives, de la documentation (</w:t>
      </w:r>
      <w:proofErr w:type="spellStart"/>
      <w:r>
        <w:t>docstrings</w:t>
      </w:r>
      <w:proofErr w:type="spellEnd"/>
      <w:r>
        <w:t>), des fonctions comme objets de première classe, de l'application partielle, des fermetures (</w:t>
      </w:r>
      <w:proofErr w:type="spellStart"/>
      <w:r>
        <w:t>closures</w:t>
      </w:r>
      <w:proofErr w:type="spellEnd"/>
      <w:r>
        <w:t xml:space="preserve">), des fonctions anonymes lambda et des décorateurs. Le chapitre 8 introduit la programmation orientée objet : définition de classes, méthodes spéciales, propriétés (getters/setters), méthodes et attributs de classe, héritage et encapsulation — illustrés par une classe de nombres rationnels et une hiérarchie de solveurs d'équations différentielles ordinaires. Le chapitre 9 approfondit l'itération : boucles for, itérateurs, générateurs, module </w:t>
      </w:r>
      <w:proofErr w:type="spellStart"/>
      <w:r>
        <w:t>itertools</w:t>
      </w:r>
      <w:proofErr w:type="spellEnd"/>
      <w:r>
        <w:t xml:space="preserve">, patterns de remplissage de listes, expressions </w:t>
      </w:r>
      <w:r>
        <w:lastRenderedPageBreak/>
        <w:t xml:space="preserve">génératrices et boucles infinies — avec des applications mathématiques comme la moyenne </w:t>
      </w:r>
      <w:proofErr w:type="spellStart"/>
      <w:r>
        <w:t>arithmético</w:t>
      </w:r>
      <w:proofErr w:type="spellEnd"/>
      <w:r>
        <w:t>-géométrique et l'accélération de convergence.</w:t>
      </w:r>
    </w:p>
    <w:p w14:paraId="7E0BFA98" w14:textId="77777777" w:rsidR="00BC2999" w:rsidRDefault="00000000">
      <w:pPr>
        <w:pStyle w:val="Titre2"/>
      </w:pPr>
      <w:r>
        <w:t>Chapitre 10 — Traitement de données avec pandas</w:t>
      </w:r>
    </w:p>
    <w:p w14:paraId="2C999899" w14:textId="77777777" w:rsidR="00BC2999" w:rsidRDefault="00000000">
      <w:pPr>
        <w:spacing w:before="100" w:after="200"/>
        <w:jc w:val="both"/>
      </w:pPr>
      <w:r>
        <w:t xml:space="preserve">Ce chapitre offre une introduction ciblée à la bibliothèque pandas, dont les structures </w:t>
      </w:r>
      <w:proofErr w:type="spellStart"/>
      <w:r>
        <w:t>Series</w:t>
      </w:r>
      <w:proofErr w:type="spellEnd"/>
      <w:r>
        <w:t xml:space="preserve"> et </w:t>
      </w:r>
      <w:proofErr w:type="spellStart"/>
      <w:r>
        <w:t>DataFrame</w:t>
      </w:r>
      <w:proofErr w:type="spellEnd"/>
      <w:r>
        <w:t xml:space="preserve"> étendent les tableaux </w:t>
      </w:r>
      <w:proofErr w:type="spellStart"/>
      <w:r>
        <w:t>NumPy</w:t>
      </w:r>
      <w:proofErr w:type="spellEnd"/>
      <w:r>
        <w:t xml:space="preserve"> en leur associant des indices nommés et des métadonnées. À travers l'exemple fil conducteur des données de cellules solaires, le lecteur apprend à importer, indexer, filtrer, fusionner et nettoyer des données (gestion des valeurs manquantes), à effectuer des calculs statistiques, à regrouper des observations (</w:t>
      </w:r>
      <w:proofErr w:type="spellStart"/>
      <w:r>
        <w:t>groupby</w:t>
      </w:r>
      <w:proofErr w:type="spellEnd"/>
      <w:r>
        <w:t xml:space="preserve">) et à produire des graphiques directement depuis un </w:t>
      </w:r>
      <w:proofErr w:type="spellStart"/>
      <w:r>
        <w:t>DataFrame</w:t>
      </w:r>
      <w:proofErr w:type="spellEnd"/>
      <w:r>
        <w:t xml:space="preserve">. La relation entre les </w:t>
      </w:r>
      <w:proofErr w:type="spellStart"/>
      <w:r>
        <w:t>arrays</w:t>
      </w:r>
      <w:proofErr w:type="spellEnd"/>
      <w:r>
        <w:t xml:space="preserve"> </w:t>
      </w:r>
      <w:proofErr w:type="spellStart"/>
      <w:r>
        <w:t>NumPy</w:t>
      </w:r>
      <w:proofErr w:type="spellEnd"/>
      <w:r>
        <w:t xml:space="preserve"> et les </w:t>
      </w:r>
      <w:proofErr w:type="spellStart"/>
      <w:r>
        <w:t>DataFrames</w:t>
      </w:r>
      <w:proofErr w:type="spellEnd"/>
      <w:r>
        <w:t xml:space="preserve"> pandas est explicitée, permettant une transition fluide entre les deux paradigmes.</w:t>
      </w:r>
    </w:p>
    <w:p w14:paraId="1B7FF755" w14:textId="77777777" w:rsidR="00BC2999" w:rsidRDefault="00000000">
      <w:pPr>
        <w:pStyle w:val="Titre2"/>
      </w:pPr>
      <w:r>
        <w:t xml:space="preserve">Chapitre 11 — Interfaces graphiques interactives avec </w:t>
      </w:r>
      <w:proofErr w:type="spellStart"/>
      <w:r>
        <w:t>Matplotlib</w:t>
      </w:r>
      <w:proofErr w:type="spellEnd"/>
    </w:p>
    <w:p w14:paraId="174031E0" w14:textId="77777777" w:rsidR="00BC2999" w:rsidRDefault="00000000">
      <w:pPr>
        <w:spacing w:before="100" w:after="200"/>
        <w:jc w:val="both"/>
      </w:pPr>
      <w:r>
        <w:t xml:space="preserve">Ce chapitre introduit la programmation d'interfaces graphiques (GUI) au sein de </w:t>
      </w:r>
      <w:proofErr w:type="spellStart"/>
      <w:r>
        <w:t>Matplotlib</w:t>
      </w:r>
      <w:proofErr w:type="spellEnd"/>
      <w:r>
        <w:t>. Il présente les widgets interactifs — curseurs (</w:t>
      </w:r>
      <w:proofErr w:type="spellStart"/>
      <w:r>
        <w:t>sliders</w:t>
      </w:r>
      <w:proofErr w:type="spellEnd"/>
      <w:r>
        <w:t>), boutons, zones de texte — et leur connexion à des fonctions de rappel (callbacks) déclenchées par des événements utilisateur (clics souris, déplacements). Les exemples montrent comment construire des visualisations paramétrables en temps réel, particulièrement utiles pour l'enseignement et l'exploration de modèles mathématiques.</w:t>
      </w:r>
    </w:p>
    <w:p w14:paraId="14C6287B" w14:textId="77777777" w:rsidR="00BC2999" w:rsidRDefault="00000000">
      <w:pPr>
        <w:pStyle w:val="Titre2"/>
      </w:pPr>
      <w:r>
        <w:t>Chapitres 12–13 — Gestion des exceptions, débogage, espaces de noms et modules</w:t>
      </w:r>
    </w:p>
    <w:p w14:paraId="110BC2D0" w14:textId="77777777" w:rsidR="00BC2999" w:rsidRDefault="00000000">
      <w:pPr>
        <w:spacing w:before="100" w:after="200"/>
        <w:jc w:val="both"/>
      </w:pPr>
      <w:r>
        <w:t xml:space="preserve">Le chapitre 12 traite de la robustesse du code : définition et levée d'exceptions, blocs </w:t>
      </w:r>
      <w:proofErr w:type="spellStart"/>
      <w:r>
        <w:t>try</w:t>
      </w:r>
      <w:proofErr w:type="spellEnd"/>
      <w:r>
        <w:t>/</w:t>
      </w:r>
      <w:proofErr w:type="spellStart"/>
      <w:r>
        <w:t>except</w:t>
      </w:r>
      <w:proofErr w:type="spellEnd"/>
      <w:r>
        <w:t>/</w:t>
      </w:r>
      <w:proofErr w:type="spellStart"/>
      <w:r>
        <w:t>finally</w:t>
      </w:r>
      <w:proofErr w:type="spellEnd"/>
      <w:r>
        <w:t>, exceptions personnalisées et gestionnaires de contexte (</w:t>
      </w:r>
      <w:proofErr w:type="spellStart"/>
      <w:r>
        <w:t>with</w:t>
      </w:r>
      <w:proofErr w:type="spellEnd"/>
      <w:r>
        <w:t xml:space="preserve">). Le débogage est abordé de manière pratique avec le débogueur Python (pdb) et les outils </w:t>
      </w:r>
      <w:proofErr w:type="spellStart"/>
      <w:r>
        <w:t>IPython</w:t>
      </w:r>
      <w:proofErr w:type="spellEnd"/>
      <w:r>
        <w:t>. Le chapitre 13 clarifie les notions d'espaces de noms (</w:t>
      </w:r>
      <w:proofErr w:type="spellStart"/>
      <w:r>
        <w:t>namespaces</w:t>
      </w:r>
      <w:proofErr w:type="spellEnd"/>
      <w:r>
        <w:t>) et de portée des variables (scope), essentielles pour éviter les conflits de nommage dans les projets scientifiques. Il présente la modularisation du code en modules Python réutilisables et décrit quelques modules de la bibliothèque standard particulièrement utiles.</w:t>
      </w:r>
    </w:p>
    <w:p w14:paraId="0B3D6E06" w14:textId="77777777" w:rsidR="00BC2999" w:rsidRDefault="00000000">
      <w:pPr>
        <w:pStyle w:val="Titre2"/>
      </w:pPr>
      <w:r>
        <w:t>Chapitres 14–15 — Entrées/Sorties et tests automatisés</w:t>
      </w:r>
    </w:p>
    <w:p w14:paraId="4EB28218" w14:textId="77777777" w:rsidR="00BC2999" w:rsidRDefault="00000000">
      <w:pPr>
        <w:spacing w:before="100" w:after="200"/>
        <w:jc w:val="both"/>
      </w:pPr>
      <w:r>
        <w:t xml:space="preserve">Le chapitre 14 couvre la gestion des fichiers : lecture/écriture de fichiers texte, méthodes </w:t>
      </w:r>
      <w:proofErr w:type="spellStart"/>
      <w:r>
        <w:t>NumPy</w:t>
      </w:r>
      <w:proofErr w:type="spellEnd"/>
      <w:r>
        <w:t xml:space="preserve"> (</w:t>
      </w:r>
      <w:proofErr w:type="spellStart"/>
      <w:r>
        <w:t>savetxt</w:t>
      </w:r>
      <w:proofErr w:type="spellEnd"/>
      <w:r>
        <w:t>/</w:t>
      </w:r>
      <w:proofErr w:type="spellStart"/>
      <w:r>
        <w:t>loadtxt</w:t>
      </w:r>
      <w:proofErr w:type="spellEnd"/>
      <w:r>
        <w:t xml:space="preserve">), sérialisation par pickle et </w:t>
      </w:r>
      <w:proofErr w:type="spellStart"/>
      <w:r>
        <w:t>shelve</w:t>
      </w:r>
      <w:proofErr w:type="spellEnd"/>
      <w:r>
        <w:t xml:space="preserve">, échange de données avec MATLAB (.mat), et manipulation d'images. Le chapitre 15 est entièrement consacré aux tests — aspect souvent négligé dans les codes scientifiques. Il distingue tests manuels et automatisés, présente le module </w:t>
      </w:r>
      <w:proofErr w:type="spellStart"/>
      <w:r>
        <w:t>unittest</w:t>
      </w:r>
      <w:proofErr w:type="spellEnd"/>
      <w:r>
        <w:t xml:space="preserve"> avec </w:t>
      </w:r>
      <w:proofErr w:type="spellStart"/>
      <w:r>
        <w:t>setUp</w:t>
      </w:r>
      <w:proofErr w:type="spellEnd"/>
      <w:r>
        <w:t>/</w:t>
      </w:r>
      <w:proofErr w:type="spellStart"/>
      <w:r>
        <w:t>tearDown</w:t>
      </w:r>
      <w:proofErr w:type="spellEnd"/>
      <w:r>
        <w:t xml:space="preserve">, la paramétrisation des tests, les assertions (y compris les comparaisons de flottants), et la mesure du temps d'exécution via des </w:t>
      </w:r>
      <w:proofErr w:type="spellStart"/>
      <w:r>
        <w:t>magic</w:t>
      </w:r>
      <w:proofErr w:type="spellEnd"/>
      <w:r>
        <w:t xml:space="preserve"> </w:t>
      </w:r>
      <w:proofErr w:type="spellStart"/>
      <w:r>
        <w:t>functions</w:t>
      </w:r>
      <w:proofErr w:type="spellEnd"/>
      <w:r>
        <w:t xml:space="preserve"> </w:t>
      </w:r>
      <w:proofErr w:type="spellStart"/>
      <w:r>
        <w:t>IPython</w:t>
      </w:r>
      <w:proofErr w:type="spellEnd"/>
      <w:r>
        <w:t xml:space="preserve"> et le module </w:t>
      </w:r>
      <w:proofErr w:type="spellStart"/>
      <w:r>
        <w:t>timeit</w:t>
      </w:r>
      <w:proofErr w:type="spellEnd"/>
      <w:r>
        <w:t>. Ces pratiques sont indispensables pour garantir la reproductibilité et la fiabilité des résultats scientifiques.</w:t>
      </w:r>
    </w:p>
    <w:p w14:paraId="3135A91D" w14:textId="77777777" w:rsidR="00BC2999" w:rsidRDefault="00000000">
      <w:pPr>
        <w:pStyle w:val="Titre2"/>
      </w:pPr>
      <w:r>
        <w:t xml:space="preserve">Chapitre 16 — Calcul symbolique avec </w:t>
      </w:r>
      <w:proofErr w:type="spellStart"/>
      <w:r>
        <w:t>SymPy</w:t>
      </w:r>
      <w:proofErr w:type="spellEnd"/>
    </w:p>
    <w:p w14:paraId="72A58191" w14:textId="77777777" w:rsidR="00BC2999" w:rsidRDefault="00000000">
      <w:pPr>
        <w:spacing w:before="100" w:after="200"/>
        <w:jc w:val="both"/>
      </w:pPr>
      <w:proofErr w:type="spellStart"/>
      <w:r>
        <w:t>SymPy</w:t>
      </w:r>
      <w:proofErr w:type="spellEnd"/>
      <w:r>
        <w:t xml:space="preserve"> est présentée comme un pont entre les mathématiques symboliques et le calcul numérique. Le chapitre introduit les symboles, les expressions mathématiques exactes, les fonctions élémentaires et les fonctions indéfinies. L'algèbre linéaire symbolique (matrices </w:t>
      </w:r>
      <w:r>
        <w:lastRenderedPageBreak/>
        <w:t>symboliques, calcul de valeurs propres, résolution exacte de systèmes) est illustrée. Les mécanismes de substitution et d'évaluation numérique (</w:t>
      </w:r>
      <w:proofErr w:type="spellStart"/>
      <w:r>
        <w:t>lambdify</w:t>
      </w:r>
      <w:proofErr w:type="spellEnd"/>
      <w:r>
        <w:t>) permettent de convertir une expression symbolique en fonction numérique efficace. Un exemple d'étude de l'ordre de convergence de la méthode de Newton illustre la puissance de l'approche hybride symbolique-numérique.</w:t>
      </w:r>
    </w:p>
    <w:p w14:paraId="5268952E" w14:textId="77777777" w:rsidR="00BC2999" w:rsidRDefault="00000000">
      <w:pPr>
        <w:pStyle w:val="Titre2"/>
      </w:pPr>
      <w:r>
        <w:t>Chapitre 17 — Interaction avec le système d'exploitation</w:t>
      </w:r>
    </w:p>
    <w:p w14:paraId="112FE925" w14:textId="77777777" w:rsidR="00BC2999" w:rsidRDefault="00000000">
      <w:pPr>
        <w:spacing w:before="100" w:after="200"/>
        <w:jc w:val="both"/>
      </w:pPr>
      <w:r>
        <w:t xml:space="preserve">Ce chapitre traite de l'exécution de scripts Python en ligne de commande Linux, de la manipulation des arguments de la ligne de commande (module </w:t>
      </w:r>
      <w:proofErr w:type="spellStart"/>
      <w:proofErr w:type="gramStart"/>
      <w:r>
        <w:t>sys.argv</w:t>
      </w:r>
      <w:proofErr w:type="spellEnd"/>
      <w:proofErr w:type="gramEnd"/>
      <w:r>
        <w:t xml:space="preserve">), des flux d'entrée/sortie standard et de leur redirection. Le module </w:t>
      </w:r>
      <w:proofErr w:type="spellStart"/>
      <w:r>
        <w:t>subprocess</w:t>
      </w:r>
      <w:proofErr w:type="spellEnd"/>
      <w:r>
        <w:t xml:space="preserve"> permet d'appeler des commandes système depuis Python et de construire des pipelines entre processus, ce qui s'avère utile pour l'automatisation de workflows scientifiques et l'intégration avec des outils de calcul externes.</w:t>
      </w:r>
    </w:p>
    <w:p w14:paraId="760FE556" w14:textId="77777777" w:rsidR="00BC2999" w:rsidRDefault="00000000">
      <w:pPr>
        <w:pStyle w:val="Titre2"/>
      </w:pPr>
      <w:r>
        <w:t>Chapitre 18 — Calcul parallèle avec mpi4py</w:t>
      </w:r>
    </w:p>
    <w:p w14:paraId="5ADE1D96" w14:textId="77777777" w:rsidR="00BC2999" w:rsidRDefault="00000000">
      <w:pPr>
        <w:spacing w:before="100" w:after="200"/>
        <w:jc w:val="both"/>
      </w:pPr>
      <w:r>
        <w:t xml:space="preserve">Ce chapitre, l'un des apports majeurs de la deuxième édition, aborde le calcul parallèle sur architectures multicœurs et clusters. L'interface de passage de messages MPI (Message Passing Interface) est introduite via le </w:t>
      </w:r>
      <w:proofErr w:type="spellStart"/>
      <w:r>
        <w:t>wrapper</w:t>
      </w:r>
      <w:proofErr w:type="spellEnd"/>
      <w:r>
        <w:t xml:space="preserve"> Python mpi4py. Les concepts fondamentaux couverts incluent : la distribution de tâches entre processus, les communications point à point (bloquantes et non bloquantes), l'envoi de tableaux </w:t>
      </w:r>
      <w:proofErr w:type="spellStart"/>
      <w:r>
        <w:t>NumPy</w:t>
      </w:r>
      <w:proofErr w:type="spellEnd"/>
      <w:r>
        <w:t>, les communications collectives (</w:t>
      </w:r>
      <w:proofErr w:type="spellStart"/>
      <w:r>
        <w:t>scatter</w:t>
      </w:r>
      <w:proofErr w:type="spellEnd"/>
      <w:r>
        <w:t>/</w:t>
      </w:r>
      <w:proofErr w:type="spellStart"/>
      <w:r>
        <w:t>gather</w:t>
      </w:r>
      <w:proofErr w:type="spellEnd"/>
      <w:r>
        <w:t>/</w:t>
      </w:r>
      <w:proofErr w:type="spellStart"/>
      <w:r>
        <w:t>reduce</w:t>
      </w:r>
      <w:proofErr w:type="spellEnd"/>
      <w:r>
        <w:t>/broadcast) et la réduction de données distribuées. Ces techniques permettent d'exploiter pleinement les ressources de calcul modernes pour des simulations et des analyses de données à grande échelle.</w:t>
      </w:r>
    </w:p>
    <w:p w14:paraId="1621DB63" w14:textId="77777777" w:rsidR="00BC2999" w:rsidRDefault="00000000">
      <w:pPr>
        <w:pStyle w:val="Titre2"/>
      </w:pPr>
      <w:r>
        <w:t>Chapitre 19 — Exemples approfondis et intégrateurs</w:t>
      </w:r>
    </w:p>
    <w:p w14:paraId="2BEA1AEA" w14:textId="77777777" w:rsidR="00BC2999" w:rsidRDefault="00000000">
      <w:pPr>
        <w:spacing w:before="100" w:after="200"/>
        <w:jc w:val="both"/>
      </w:pPr>
      <w:r>
        <w:t xml:space="preserve">Le dernier chapitre propose des études de cas complètes qui mobilisent l'ensemble des compétences acquises. La classe Polynomial illustre une implémentation orientée objet rigoureuse avec interpolation de Newton. L'algorithme de clustering spectral démontre l'utilisation conjointe de l'algèbre linéaire </w:t>
      </w:r>
      <w:proofErr w:type="spellStart"/>
      <w:r>
        <w:t>NumPy</w:t>
      </w:r>
      <w:proofErr w:type="spellEnd"/>
      <w:r>
        <w:t xml:space="preserve"> et des algorithmes de graphes. La résolution de problèmes à valeur initiale (équations différentielles ordinaires) met en œuvre des schémas d'intégration numérique. Ces exemples constituent des modèles de bonnes pratiques de développement scientifique : documentation, tests, modularité et performance.</w:t>
      </w:r>
    </w:p>
    <w:p w14:paraId="4F175474" w14:textId="77777777" w:rsidR="00BC2999" w:rsidRDefault="00000000">
      <w:pPr>
        <w:pStyle w:val="Titre1"/>
      </w:pPr>
      <w:r>
        <w:t>4. Contributions scientifiques et pédagogiques</w:t>
      </w:r>
    </w:p>
    <w:p w14:paraId="4D0FD0FD" w14:textId="77777777" w:rsidR="00BC2999" w:rsidRDefault="00000000">
      <w:pPr>
        <w:pStyle w:val="Titre2"/>
      </w:pPr>
      <w:r>
        <w:t>4.1 Articulation entre mathématiques et programmation</w:t>
      </w:r>
    </w:p>
    <w:p w14:paraId="72D1547F" w14:textId="77777777" w:rsidR="00BC2999" w:rsidRDefault="00000000">
      <w:pPr>
        <w:spacing w:before="100" w:after="200"/>
        <w:jc w:val="both"/>
      </w:pPr>
      <w:r>
        <w:t xml:space="preserve">L'originalité de l'ouvrage réside dans la cohérence de la mise en correspondance entre concepts mathématiques et constructions Python. Les tableaux </w:t>
      </w:r>
      <w:proofErr w:type="spellStart"/>
      <w:r>
        <w:t>NumPy</w:t>
      </w:r>
      <w:proofErr w:type="spellEnd"/>
      <w:r>
        <w:t xml:space="preserve"> sont introduits comme des discrétisations de fonctions mathématiques ; le broadcasting est expliqué par analogie avec les opérations sur les fonctions ; les classes Python illustrent les structures algébriques (groupes, anneaux) ; les générateurs modélisent les suites récurrentes. Cette approche favorise une compréhension profonde plutôt qu'une simple mémorisation de fonctions.</w:t>
      </w:r>
    </w:p>
    <w:p w14:paraId="63A37D20" w14:textId="77777777" w:rsidR="00BC2999" w:rsidRDefault="00000000">
      <w:pPr>
        <w:pStyle w:val="Titre2"/>
      </w:pPr>
      <w:r>
        <w:t>4.2 Couverture de l'écosystème scientifique Python</w:t>
      </w:r>
    </w:p>
    <w:p w14:paraId="12043189" w14:textId="77777777" w:rsidR="00BC2999" w:rsidRDefault="00000000">
      <w:pPr>
        <w:spacing w:before="100" w:after="200"/>
        <w:jc w:val="both"/>
      </w:pPr>
      <w:r>
        <w:lastRenderedPageBreak/>
        <w:t xml:space="preserve">L'ouvrage couvre de manière systématique les bibliothèques constituant le cœur de l'écosystème scientifique Python : </w:t>
      </w:r>
      <w:proofErr w:type="spellStart"/>
      <w:r>
        <w:t>NumPy</w:t>
      </w:r>
      <w:proofErr w:type="spellEnd"/>
      <w:r>
        <w:t xml:space="preserve"> pour le calcul matriciel et les fonctions universelles, </w:t>
      </w:r>
      <w:proofErr w:type="spellStart"/>
      <w:r>
        <w:t>SciPy</w:t>
      </w:r>
      <w:proofErr w:type="spellEnd"/>
      <w:r>
        <w:t xml:space="preserve"> pour les algorithmes numériques avancés (algèbre linéaire, optimisation implicite), </w:t>
      </w:r>
      <w:proofErr w:type="spellStart"/>
      <w:r>
        <w:t>Matplotlib</w:t>
      </w:r>
      <w:proofErr w:type="spellEnd"/>
      <w:r>
        <w:t xml:space="preserve"> pour la visualisation, pandas pour l'analyse de données tabulaires, </w:t>
      </w:r>
      <w:proofErr w:type="spellStart"/>
      <w:r>
        <w:t>SymPy</w:t>
      </w:r>
      <w:proofErr w:type="spellEnd"/>
      <w:r>
        <w:t xml:space="preserve"> pour le calcul formel et mpi4py pour le parallélisme. Cette couverture intégrée permet au lecteur d'acquérir une autonomie réelle pour des projets scientifiques complets.</w:t>
      </w:r>
    </w:p>
    <w:p w14:paraId="45ED0061" w14:textId="77777777" w:rsidR="00BC2999" w:rsidRDefault="00000000">
      <w:pPr>
        <w:pStyle w:val="Titre2"/>
      </w:pPr>
      <w:r>
        <w:t>4.3 Ingénierie logicielle pour la science</w:t>
      </w:r>
    </w:p>
    <w:p w14:paraId="30345824" w14:textId="77777777" w:rsidR="00BC2999" w:rsidRDefault="00000000">
      <w:pPr>
        <w:spacing w:before="100" w:after="200"/>
        <w:jc w:val="both"/>
      </w:pPr>
      <w:r>
        <w:t>À la différence de nombreux ouvrages de calcul scientifique qui négligent les aspects génie logiciel, cet ouvrage accorde une place importante aux tests automatisés, au débogage, à la gestion des exceptions et à la mesure des performances. Cette orientation reflète les exigences croissantes de reproductibilité et de fiabilité dans la recherche computationnelle, et prépare les lecteurs aux standards professionnels du développement scientifique.</w:t>
      </w:r>
    </w:p>
    <w:p w14:paraId="63261AD1" w14:textId="77777777" w:rsidR="00BC2999" w:rsidRDefault="00000000">
      <w:pPr>
        <w:pStyle w:val="Titre1"/>
      </w:pPr>
      <w:r>
        <w:t>5. Évaluation critique</w:t>
      </w:r>
    </w:p>
    <w:p w14:paraId="47DFB78A" w14:textId="77777777" w:rsidR="00BC2999" w:rsidRDefault="00000000">
      <w:pPr>
        <w:pStyle w:val="Titre2"/>
      </w:pPr>
      <w:r>
        <w:t>5.1 Points forts</w:t>
      </w:r>
    </w:p>
    <w:p w14:paraId="6C910D62" w14:textId="77777777" w:rsidR="00BC2999" w:rsidRDefault="00000000">
      <w:pPr>
        <w:pStyle w:val="Paragraphedeliste"/>
        <w:numPr>
          <w:ilvl w:val="0"/>
          <w:numId w:val="2"/>
        </w:numPr>
      </w:pPr>
      <w:r>
        <w:t>Progressivité exemplaire : chaque concept est d'abord présenté intuitivement, puis formalisé et illustré par des exercices.</w:t>
      </w:r>
    </w:p>
    <w:p w14:paraId="13BB6A28" w14:textId="77777777" w:rsidR="00BC2999" w:rsidRDefault="00000000">
      <w:pPr>
        <w:pStyle w:val="Paragraphedeliste"/>
        <w:numPr>
          <w:ilvl w:val="0"/>
          <w:numId w:val="2"/>
        </w:numPr>
      </w:pPr>
      <w:r>
        <w:t>Ancrage mathématique rigoureux : les auteurs, tous mathématiciens ou informaticiens académiques, maintiennent une exigence conceptuelle rare dans ce type d'ouvrage.</w:t>
      </w:r>
    </w:p>
    <w:p w14:paraId="17E43642" w14:textId="77777777" w:rsidR="00BC2999" w:rsidRDefault="00000000">
      <w:pPr>
        <w:pStyle w:val="Paragraphedeliste"/>
        <w:numPr>
          <w:ilvl w:val="0"/>
          <w:numId w:val="2"/>
        </w:numPr>
      </w:pPr>
      <w:r>
        <w:t>Exemples pertinents : les applications (cellules solaires, polynômes de Newton, clustering spectral, équations différentielles) sont choisies pour leur richesse illustrative.</w:t>
      </w:r>
    </w:p>
    <w:p w14:paraId="29023E85" w14:textId="77777777" w:rsidR="00BC2999" w:rsidRDefault="00000000">
      <w:pPr>
        <w:pStyle w:val="Paragraphedeliste"/>
        <w:numPr>
          <w:ilvl w:val="0"/>
          <w:numId w:val="2"/>
        </w:numPr>
        <w:spacing w:after="200"/>
      </w:pPr>
      <w:r>
        <w:t>Nouveaux chapitres (2e édition) sur les GUI, pandas et le calcul parallèle comblant des lacunes importantes de la première édition.</w:t>
      </w:r>
    </w:p>
    <w:p w14:paraId="5625452A" w14:textId="77777777" w:rsidR="00BC2999" w:rsidRDefault="00000000">
      <w:pPr>
        <w:pStyle w:val="Titre2"/>
      </w:pPr>
      <w:r>
        <w:t>5.2 Limites et compléments possibles</w:t>
      </w:r>
    </w:p>
    <w:p w14:paraId="6EDB35B8" w14:textId="77777777" w:rsidR="00BC2999" w:rsidRDefault="00000000">
      <w:pPr>
        <w:pStyle w:val="Paragraphedeliste"/>
        <w:numPr>
          <w:ilvl w:val="0"/>
          <w:numId w:val="2"/>
        </w:numPr>
      </w:pPr>
      <w:r>
        <w:t xml:space="preserve">La couverture de </w:t>
      </w:r>
      <w:proofErr w:type="spellStart"/>
      <w:r>
        <w:t>SciPy</w:t>
      </w:r>
      <w:proofErr w:type="spellEnd"/>
      <w:r>
        <w:t xml:space="preserve"> reste partielle : les modules d'optimisation (</w:t>
      </w:r>
      <w:proofErr w:type="spellStart"/>
      <w:proofErr w:type="gramStart"/>
      <w:r>
        <w:t>scipy.optimize</w:t>
      </w:r>
      <w:proofErr w:type="spellEnd"/>
      <w:proofErr w:type="gramEnd"/>
      <w:r>
        <w:t>), de transformées de Fourier et d'équations différentielles (</w:t>
      </w:r>
      <w:proofErr w:type="spellStart"/>
      <w:proofErr w:type="gramStart"/>
      <w:r>
        <w:t>scipy.integrate</w:t>
      </w:r>
      <w:proofErr w:type="spellEnd"/>
      <w:proofErr w:type="gramEnd"/>
      <w:r>
        <w:t>) sont peu développés.</w:t>
      </w:r>
    </w:p>
    <w:p w14:paraId="6AA8CF66" w14:textId="77777777" w:rsidR="00BC2999" w:rsidRDefault="00000000">
      <w:pPr>
        <w:pStyle w:val="Paragraphedeliste"/>
        <w:numPr>
          <w:ilvl w:val="0"/>
          <w:numId w:val="2"/>
        </w:numPr>
      </w:pPr>
      <w:r>
        <w:t>Les aspects d'apprentissage automatique sont mentionnés comme contexte d'application, mais ne constituent pas un sujet traité en profondeur.</w:t>
      </w:r>
    </w:p>
    <w:p w14:paraId="69296A1F" w14:textId="77777777" w:rsidR="00BC2999" w:rsidRDefault="00000000">
      <w:pPr>
        <w:pStyle w:val="Paragraphedeliste"/>
        <w:numPr>
          <w:ilvl w:val="0"/>
          <w:numId w:val="2"/>
        </w:numPr>
        <w:spacing w:after="200"/>
      </w:pPr>
      <w:r>
        <w:t xml:space="preserve">La couverture de </w:t>
      </w:r>
      <w:proofErr w:type="spellStart"/>
      <w:r>
        <w:t>Jupyter</w:t>
      </w:r>
      <w:proofErr w:type="spellEnd"/>
      <w:r>
        <w:t xml:space="preserve"> Notebook reste introductive, sans aborder les widgets </w:t>
      </w:r>
      <w:proofErr w:type="spellStart"/>
      <w:r>
        <w:t>ipywidgets</w:t>
      </w:r>
      <w:proofErr w:type="spellEnd"/>
      <w:r>
        <w:t xml:space="preserve"> ni l'intégration avec </w:t>
      </w:r>
      <w:proofErr w:type="spellStart"/>
      <w:r>
        <w:t>JupyterHub</w:t>
      </w:r>
      <w:proofErr w:type="spellEnd"/>
      <w:r>
        <w:t xml:space="preserve"> pour les environnements collaboratifs.</w:t>
      </w:r>
    </w:p>
    <w:p w14:paraId="74D920F1" w14:textId="77777777" w:rsidR="00BC2999" w:rsidRDefault="00000000">
      <w:pPr>
        <w:pStyle w:val="Titre1"/>
      </w:pPr>
      <w:r>
        <w:t>6. Public cible et usages recommandés</w:t>
      </w:r>
    </w:p>
    <w:p w14:paraId="48D1BD27" w14:textId="77777777" w:rsidR="00BC2999" w:rsidRDefault="00000000">
      <w:pPr>
        <w:spacing w:before="100" w:after="120"/>
        <w:jc w:val="both"/>
      </w:pPr>
      <w:r>
        <w:t>L'ouvrage convient particulièrement aux profils suivants :</w:t>
      </w:r>
    </w:p>
    <w:p w14:paraId="315267E5" w14:textId="77777777" w:rsidR="00BC2999" w:rsidRDefault="00000000">
      <w:pPr>
        <w:pStyle w:val="Paragraphedeliste"/>
        <w:numPr>
          <w:ilvl w:val="0"/>
          <w:numId w:val="2"/>
        </w:numPr>
      </w:pPr>
      <w:r>
        <w:t>Étudiants de licence et master en mathématiques, physique, ingénierie ou informatique scientifique cherchant à maîtriser Python pour leurs travaux pratiques et projets de recherche.</w:t>
      </w:r>
    </w:p>
    <w:p w14:paraId="41689728" w14:textId="77777777" w:rsidR="00BC2999" w:rsidRDefault="00000000">
      <w:pPr>
        <w:pStyle w:val="Paragraphedeliste"/>
        <w:numPr>
          <w:ilvl w:val="0"/>
          <w:numId w:val="2"/>
        </w:numPr>
      </w:pPr>
      <w:r>
        <w:t>Enseignants-chercheurs souhaitant concevoir un cours de programmation scientifique avec Python, en bénéficiant d'une progression pédagogique éprouvée.</w:t>
      </w:r>
    </w:p>
    <w:p w14:paraId="647BA0A3" w14:textId="77777777" w:rsidR="00BC2999" w:rsidRDefault="00000000">
      <w:pPr>
        <w:pStyle w:val="Paragraphedeliste"/>
        <w:numPr>
          <w:ilvl w:val="0"/>
          <w:numId w:val="2"/>
        </w:numPr>
      </w:pPr>
      <w:r>
        <w:lastRenderedPageBreak/>
        <w:t xml:space="preserve">Data </w:t>
      </w:r>
      <w:proofErr w:type="spellStart"/>
      <w:r>
        <w:t>scientists</w:t>
      </w:r>
      <w:proofErr w:type="spellEnd"/>
      <w:r>
        <w:t xml:space="preserve"> et ingénieurs en calcul scientifique souhaitant consolider leurs bases algorithmiques et apprendre les bonnes pratiques (tests, modularité, parallélisme).</w:t>
      </w:r>
    </w:p>
    <w:p w14:paraId="75CE7583" w14:textId="77777777" w:rsidR="00BC2999" w:rsidRDefault="00000000">
      <w:pPr>
        <w:pStyle w:val="Paragraphedeliste"/>
        <w:numPr>
          <w:ilvl w:val="0"/>
          <w:numId w:val="2"/>
        </w:numPr>
        <w:spacing w:after="240"/>
      </w:pPr>
      <w:r>
        <w:t>Chercheurs en transition depuis MATLAB ou R vers Python, qui trouveront les comparaisons implicites éclairantes.</w:t>
      </w:r>
    </w:p>
    <w:p w14:paraId="0C7F1CCD" w14:textId="77777777" w:rsidR="00BC2999" w:rsidRDefault="00000000">
      <w:pPr>
        <w:pStyle w:val="Titre1"/>
      </w:pPr>
      <w:r>
        <w:t>7. Conclusion</w:t>
      </w:r>
    </w:p>
    <w:p w14:paraId="0380A1D8" w14:textId="77777777" w:rsidR="00BC2999" w:rsidRDefault="00000000">
      <w:pPr>
        <w:spacing w:before="120" w:after="240"/>
        <w:jc w:val="both"/>
      </w:pPr>
      <w:r>
        <w:t xml:space="preserve">Scientific </w:t>
      </w:r>
      <w:proofErr w:type="spellStart"/>
      <w:r>
        <w:t>Computing</w:t>
      </w:r>
      <w:proofErr w:type="spellEnd"/>
      <w:r>
        <w:t xml:space="preserve"> </w:t>
      </w:r>
      <w:proofErr w:type="spellStart"/>
      <w:r>
        <w:t>with</w:t>
      </w:r>
      <w:proofErr w:type="spellEnd"/>
      <w:r>
        <w:t xml:space="preserve"> Python (2e édition) de Führer, </w:t>
      </w:r>
      <w:proofErr w:type="spellStart"/>
      <w:r>
        <w:t>Solem</w:t>
      </w:r>
      <w:proofErr w:type="spellEnd"/>
      <w:r>
        <w:t xml:space="preserve"> et Verdier s'impose comme un manuel de référence solide pour l'enseignement et la pratique du calcul scientifique en Python. Sa force réside dans la synthèse d'une pédagogie universitaire exigeante, d'une couverture technique exhaustive de l'écosystème Python scientifique, et d'un souci constant d'ancrage mathématique. L'ajout de chapitres sur les interfaces graphiques, pandas et le calcul parallèle dans cette deuxième édition en fait un ouvrage complet et à jour, adapté aux défis du calcul scientifique moderne. Il constitue une ressource incontournable pour quiconque souhaite pratiquer la science computationnelle avec Python au niveau académique ou professionnel.</w:t>
      </w:r>
    </w:p>
    <w:p w14:paraId="78CD85E0" w14:textId="77777777" w:rsidR="00BC2999" w:rsidRDefault="00000000">
      <w:pPr>
        <w:pStyle w:val="Titre1"/>
      </w:pPr>
      <w:r>
        <w:t>Référence bibliographique</w:t>
      </w:r>
    </w:p>
    <w:p w14:paraId="7F95DB3B" w14:textId="77777777" w:rsidR="00BC2999" w:rsidRDefault="00000000">
      <w:pPr>
        <w:spacing w:before="120" w:after="120"/>
        <w:jc w:val="both"/>
      </w:pPr>
      <w:r>
        <w:t xml:space="preserve">Führer, C., </w:t>
      </w:r>
      <w:proofErr w:type="spellStart"/>
      <w:r>
        <w:t>Solem</w:t>
      </w:r>
      <w:proofErr w:type="spellEnd"/>
      <w:r>
        <w:t xml:space="preserve">, J. E., &amp; Verdier, O. (2021). </w:t>
      </w:r>
      <w:r>
        <w:rPr>
          <w:i/>
          <w:iCs/>
        </w:rPr>
        <w:t xml:space="preserve">Scientific </w:t>
      </w:r>
      <w:proofErr w:type="spellStart"/>
      <w:r>
        <w:rPr>
          <w:i/>
          <w:iCs/>
        </w:rPr>
        <w:t>Computing</w:t>
      </w:r>
      <w:proofErr w:type="spellEnd"/>
      <w:r>
        <w:rPr>
          <w:i/>
          <w:iCs/>
        </w:rPr>
        <w:t xml:space="preserve"> </w:t>
      </w:r>
      <w:proofErr w:type="spellStart"/>
      <w:r>
        <w:rPr>
          <w:i/>
          <w:iCs/>
        </w:rPr>
        <w:t>with</w:t>
      </w:r>
      <w:proofErr w:type="spellEnd"/>
      <w:r>
        <w:rPr>
          <w:i/>
          <w:iCs/>
        </w:rPr>
        <w:t xml:space="preserve"> </w:t>
      </w:r>
      <w:proofErr w:type="gramStart"/>
      <w:r>
        <w:rPr>
          <w:i/>
          <w:iCs/>
        </w:rPr>
        <w:t>Python:</w:t>
      </w:r>
      <w:proofErr w:type="gramEnd"/>
      <w:r>
        <w:rPr>
          <w:i/>
          <w:iCs/>
        </w:rPr>
        <w:t xml:space="preserve"> High-performance </w:t>
      </w:r>
      <w:proofErr w:type="spellStart"/>
      <w:r>
        <w:rPr>
          <w:i/>
          <w:iCs/>
        </w:rPr>
        <w:t>scientific</w:t>
      </w:r>
      <w:proofErr w:type="spellEnd"/>
      <w:r>
        <w:rPr>
          <w:i/>
          <w:iCs/>
        </w:rPr>
        <w:t xml:space="preserve"> </w:t>
      </w:r>
      <w:proofErr w:type="spellStart"/>
      <w:r>
        <w:rPr>
          <w:i/>
          <w:iCs/>
        </w:rPr>
        <w:t>computing</w:t>
      </w:r>
      <w:proofErr w:type="spellEnd"/>
      <w:r>
        <w:rPr>
          <w:i/>
          <w:iCs/>
        </w:rPr>
        <w:t xml:space="preserve"> </w:t>
      </w:r>
      <w:proofErr w:type="spellStart"/>
      <w:r>
        <w:rPr>
          <w:i/>
          <w:iCs/>
        </w:rPr>
        <w:t>with</w:t>
      </w:r>
      <w:proofErr w:type="spellEnd"/>
      <w:r>
        <w:rPr>
          <w:i/>
          <w:iCs/>
        </w:rPr>
        <w:t xml:space="preserve"> </w:t>
      </w:r>
      <w:proofErr w:type="spellStart"/>
      <w:r>
        <w:rPr>
          <w:i/>
          <w:iCs/>
        </w:rPr>
        <w:t>NumPy</w:t>
      </w:r>
      <w:proofErr w:type="spellEnd"/>
      <w:r>
        <w:rPr>
          <w:i/>
          <w:iCs/>
        </w:rPr>
        <w:t xml:space="preserve">, </w:t>
      </w:r>
      <w:proofErr w:type="spellStart"/>
      <w:r>
        <w:rPr>
          <w:i/>
          <w:iCs/>
        </w:rPr>
        <w:t>SciPy</w:t>
      </w:r>
      <w:proofErr w:type="spellEnd"/>
      <w:r>
        <w:rPr>
          <w:i/>
          <w:iCs/>
        </w:rPr>
        <w:t>, and pandas</w:t>
      </w:r>
      <w:r>
        <w:t xml:space="preserve"> (2e éd.). </w:t>
      </w:r>
      <w:proofErr w:type="spellStart"/>
      <w:r>
        <w:t>Packt</w:t>
      </w:r>
      <w:proofErr w:type="spellEnd"/>
      <w:r>
        <w:t xml:space="preserve"> </w:t>
      </w:r>
      <w:proofErr w:type="spellStart"/>
      <w:r>
        <w:t>Publishing</w:t>
      </w:r>
      <w:proofErr w:type="spellEnd"/>
      <w:r>
        <w:t>. ISBN 978-1-83882-232-3.</w:t>
      </w:r>
    </w:p>
    <w:sectPr w:rsidR="00BC299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8FF6C" w14:textId="77777777" w:rsidR="009908A0" w:rsidRDefault="009908A0">
      <w:r>
        <w:separator/>
      </w:r>
    </w:p>
  </w:endnote>
  <w:endnote w:type="continuationSeparator" w:id="0">
    <w:p w14:paraId="6B920663" w14:textId="77777777" w:rsidR="009908A0" w:rsidRDefault="00990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5428" w14:textId="47F070EC" w:rsidR="00BC2999" w:rsidRDefault="00000000">
    <w:pPr>
      <w:jc w:val="center"/>
    </w:pPr>
    <w:r>
      <w:rPr>
        <w:rFonts w:ascii="Arial" w:eastAsia="Arial" w:hAnsi="Arial" w:cs="Arial"/>
        <w:color w:val="888888"/>
        <w:sz w:val="18"/>
        <w:szCs w:val="18"/>
      </w:rPr>
      <w:t xml:space="preserve">Résumé— Scientific </w:t>
    </w:r>
    <w:proofErr w:type="spellStart"/>
    <w:r>
      <w:rPr>
        <w:rFonts w:ascii="Arial" w:eastAsia="Arial" w:hAnsi="Arial" w:cs="Arial"/>
        <w:color w:val="888888"/>
        <w:sz w:val="18"/>
        <w:szCs w:val="18"/>
      </w:rPr>
      <w:t>Computing</w:t>
    </w:r>
    <w:proofErr w:type="spellEnd"/>
    <w:r>
      <w:rPr>
        <w:rFonts w:ascii="Arial" w:eastAsia="Arial" w:hAnsi="Arial" w:cs="Arial"/>
        <w:color w:val="888888"/>
        <w:sz w:val="18"/>
        <w:szCs w:val="18"/>
      </w:rPr>
      <w:t xml:space="preserve"> </w:t>
    </w:r>
    <w:proofErr w:type="spellStart"/>
    <w:r>
      <w:rPr>
        <w:rFonts w:ascii="Arial" w:eastAsia="Arial" w:hAnsi="Arial" w:cs="Arial"/>
        <w:color w:val="888888"/>
        <w:sz w:val="18"/>
        <w:szCs w:val="18"/>
      </w:rPr>
      <w:t>with</w:t>
    </w:r>
    <w:proofErr w:type="spellEnd"/>
    <w:r>
      <w:rPr>
        <w:rFonts w:ascii="Arial" w:eastAsia="Arial" w:hAnsi="Arial" w:cs="Arial"/>
        <w:color w:val="888888"/>
        <w:sz w:val="18"/>
        <w:szCs w:val="18"/>
      </w:rPr>
      <w:t xml:space="preserve"> Python (2e éd.) —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FF1130">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773D" w14:textId="77777777" w:rsidR="009908A0" w:rsidRDefault="009908A0">
      <w:r>
        <w:separator/>
      </w:r>
    </w:p>
  </w:footnote>
  <w:footnote w:type="continuationSeparator" w:id="0">
    <w:p w14:paraId="0847EB25" w14:textId="77777777" w:rsidR="009908A0" w:rsidRDefault="009908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4C8"/>
    <w:multiLevelType w:val="hybridMultilevel"/>
    <w:tmpl w:val="EADCA7FE"/>
    <w:lvl w:ilvl="0" w:tplc="4E625960">
      <w:start w:val="1"/>
      <w:numFmt w:val="bullet"/>
      <w:lvlText w:val="•"/>
      <w:lvlJc w:val="left"/>
      <w:pPr>
        <w:ind w:left="720" w:hanging="360"/>
      </w:pPr>
    </w:lvl>
    <w:lvl w:ilvl="1" w:tplc="254C2A68">
      <w:numFmt w:val="decimal"/>
      <w:lvlText w:val=""/>
      <w:lvlJc w:val="left"/>
    </w:lvl>
    <w:lvl w:ilvl="2" w:tplc="3DFC391C">
      <w:numFmt w:val="decimal"/>
      <w:lvlText w:val=""/>
      <w:lvlJc w:val="left"/>
    </w:lvl>
    <w:lvl w:ilvl="3" w:tplc="3C4C902A">
      <w:numFmt w:val="decimal"/>
      <w:lvlText w:val=""/>
      <w:lvlJc w:val="left"/>
    </w:lvl>
    <w:lvl w:ilvl="4" w:tplc="0964BDEA">
      <w:numFmt w:val="decimal"/>
      <w:lvlText w:val=""/>
      <w:lvlJc w:val="left"/>
    </w:lvl>
    <w:lvl w:ilvl="5" w:tplc="3822C80A">
      <w:numFmt w:val="decimal"/>
      <w:lvlText w:val=""/>
      <w:lvlJc w:val="left"/>
    </w:lvl>
    <w:lvl w:ilvl="6" w:tplc="C9A095A6">
      <w:numFmt w:val="decimal"/>
      <w:lvlText w:val=""/>
      <w:lvlJc w:val="left"/>
    </w:lvl>
    <w:lvl w:ilvl="7" w:tplc="6CFC8612">
      <w:numFmt w:val="decimal"/>
      <w:lvlText w:val=""/>
      <w:lvlJc w:val="left"/>
    </w:lvl>
    <w:lvl w:ilvl="8" w:tplc="DDD009DE">
      <w:numFmt w:val="decimal"/>
      <w:lvlText w:val=""/>
      <w:lvlJc w:val="left"/>
    </w:lvl>
  </w:abstractNum>
  <w:abstractNum w:abstractNumId="1" w15:restartNumberingAfterBreak="0">
    <w:nsid w:val="547B42FD"/>
    <w:multiLevelType w:val="hybridMultilevel"/>
    <w:tmpl w:val="26362C02"/>
    <w:lvl w:ilvl="0" w:tplc="C4E881B4">
      <w:start w:val="1"/>
      <w:numFmt w:val="bullet"/>
      <w:lvlText w:val="●"/>
      <w:lvlJc w:val="left"/>
      <w:pPr>
        <w:ind w:left="720" w:hanging="360"/>
      </w:pPr>
    </w:lvl>
    <w:lvl w:ilvl="1" w:tplc="5442D840">
      <w:start w:val="1"/>
      <w:numFmt w:val="bullet"/>
      <w:lvlText w:val="○"/>
      <w:lvlJc w:val="left"/>
      <w:pPr>
        <w:ind w:left="1440" w:hanging="360"/>
      </w:pPr>
    </w:lvl>
    <w:lvl w:ilvl="2" w:tplc="B386CE4E">
      <w:start w:val="1"/>
      <w:numFmt w:val="bullet"/>
      <w:lvlText w:val="■"/>
      <w:lvlJc w:val="left"/>
      <w:pPr>
        <w:ind w:left="2160" w:hanging="360"/>
      </w:pPr>
    </w:lvl>
    <w:lvl w:ilvl="3" w:tplc="3EE68356">
      <w:start w:val="1"/>
      <w:numFmt w:val="bullet"/>
      <w:lvlText w:val="●"/>
      <w:lvlJc w:val="left"/>
      <w:pPr>
        <w:ind w:left="2880" w:hanging="360"/>
      </w:pPr>
    </w:lvl>
    <w:lvl w:ilvl="4" w:tplc="00DE845A">
      <w:start w:val="1"/>
      <w:numFmt w:val="bullet"/>
      <w:lvlText w:val="○"/>
      <w:lvlJc w:val="left"/>
      <w:pPr>
        <w:ind w:left="3600" w:hanging="360"/>
      </w:pPr>
    </w:lvl>
    <w:lvl w:ilvl="5" w:tplc="EEC21E26">
      <w:start w:val="1"/>
      <w:numFmt w:val="bullet"/>
      <w:lvlText w:val="■"/>
      <w:lvlJc w:val="left"/>
      <w:pPr>
        <w:ind w:left="4320" w:hanging="360"/>
      </w:pPr>
    </w:lvl>
    <w:lvl w:ilvl="6" w:tplc="F37A4EEE">
      <w:start w:val="1"/>
      <w:numFmt w:val="bullet"/>
      <w:lvlText w:val="●"/>
      <w:lvlJc w:val="left"/>
      <w:pPr>
        <w:ind w:left="5040" w:hanging="360"/>
      </w:pPr>
    </w:lvl>
    <w:lvl w:ilvl="7" w:tplc="933CE0B6">
      <w:start w:val="1"/>
      <w:numFmt w:val="bullet"/>
      <w:lvlText w:val="●"/>
      <w:lvlJc w:val="left"/>
      <w:pPr>
        <w:ind w:left="5760" w:hanging="360"/>
      </w:pPr>
    </w:lvl>
    <w:lvl w:ilvl="8" w:tplc="6538A492">
      <w:start w:val="1"/>
      <w:numFmt w:val="bullet"/>
      <w:lvlText w:val="●"/>
      <w:lvlJc w:val="left"/>
      <w:pPr>
        <w:ind w:left="6480" w:hanging="360"/>
      </w:pPr>
    </w:lvl>
  </w:abstractNum>
  <w:num w:numId="1" w16cid:durableId="1089496785">
    <w:abstractNumId w:val="1"/>
    <w:lvlOverride w:ilvl="0">
      <w:startOverride w:val="1"/>
    </w:lvlOverride>
  </w:num>
  <w:num w:numId="2" w16cid:durableId="158733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99"/>
    <w:rsid w:val="00234AFC"/>
    <w:rsid w:val="009908A0"/>
    <w:rsid w:val="00BC2999"/>
    <w:rsid w:val="00FF1130"/>
  </w:rsids>
  <m:mathPr>
    <m:mathFont m:val="Cambria Math"/>
    <m:brkBin m:val="before"/>
    <m:brkBinSub m:val="--"/>
    <m:smallFrac m:val="0"/>
    <m:dispDef/>
    <m:lMargin m:val="0"/>
    <m:rMargin m:val="0"/>
    <m:defJc m:val="centerGroup"/>
    <m:wrapIndent m:val="1440"/>
    <m:intLim m:val="subSup"/>
    <m:naryLim m:val="undOvr"/>
  </m:mathPr>
  <w:themeFontLang w:val="fr-M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90A3C"/>
  <w15:docId w15:val="{52E90CFF-A657-454C-A257-C6B1574B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MR" w:eastAsia="fr-M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Arial" w:eastAsia="Arial" w:hAnsi="Arial" w:cs="Arial"/>
      <w:b/>
      <w:bCs/>
      <w:color w:val="1F3864"/>
      <w:sz w:val="36"/>
      <w:szCs w:val="36"/>
    </w:rPr>
  </w:style>
  <w:style w:type="paragraph" w:styleId="Titre2">
    <w:name w:val="heading 2"/>
    <w:uiPriority w:val="9"/>
    <w:unhideWhenUsed/>
    <w:qFormat/>
    <w:pPr>
      <w:spacing w:before="320" w:after="160"/>
      <w:outlineLvl w:val="1"/>
    </w:pPr>
    <w:rPr>
      <w:rFonts w:ascii="Arial" w:eastAsia="Arial" w:hAnsi="Arial" w:cs="Arial"/>
      <w:b/>
      <w:bCs/>
      <w:color w:val="2E5096"/>
      <w:sz w:val="28"/>
      <w:szCs w:val="28"/>
    </w:rPr>
  </w:style>
  <w:style w:type="paragraph" w:styleId="Titre3">
    <w:name w:val="heading 3"/>
    <w:uiPriority w:val="9"/>
    <w:semiHidden/>
    <w:unhideWhenUsed/>
    <w:qFormat/>
    <w:pPr>
      <w:spacing w:before="240" w:after="120"/>
      <w:outlineLvl w:val="2"/>
    </w:pPr>
    <w:rPr>
      <w:rFonts w:ascii="Arial" w:eastAsia="Arial" w:hAnsi="Arial" w:cs="Arial"/>
      <w:b/>
      <w:bCs/>
      <w:color w:val="2E509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F1130"/>
    <w:pPr>
      <w:tabs>
        <w:tab w:val="center" w:pos="4536"/>
        <w:tab w:val="right" w:pos="9072"/>
      </w:tabs>
    </w:pPr>
  </w:style>
  <w:style w:type="character" w:customStyle="1" w:styleId="En-tteCar">
    <w:name w:val="En-tête Car"/>
    <w:basedOn w:val="Policepardfaut"/>
    <w:link w:val="En-tte"/>
    <w:uiPriority w:val="99"/>
    <w:rsid w:val="00FF1130"/>
  </w:style>
  <w:style w:type="paragraph" w:styleId="Pieddepage">
    <w:name w:val="footer"/>
    <w:basedOn w:val="Normal"/>
    <w:link w:val="PieddepageCar"/>
    <w:uiPriority w:val="99"/>
    <w:unhideWhenUsed/>
    <w:rsid w:val="00FF1130"/>
    <w:pPr>
      <w:tabs>
        <w:tab w:val="center" w:pos="4536"/>
        <w:tab w:val="right" w:pos="9072"/>
      </w:tabs>
    </w:pPr>
  </w:style>
  <w:style w:type="character" w:customStyle="1" w:styleId="PieddepageCar">
    <w:name w:val="Pied de page Car"/>
    <w:basedOn w:val="Policepardfaut"/>
    <w:link w:val="Pieddepage"/>
    <w:uiPriority w:val="99"/>
    <w:rsid w:val="00FF1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2405</Words>
  <Characters>13713</Characters>
  <Application>Microsoft Office Word</Application>
  <DocSecurity>0</DocSecurity>
  <Lines>114</Lines>
  <Paragraphs>32</Paragraphs>
  <ScaleCrop>false</ScaleCrop>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2026-05-26T13:21:00Z</dcterms:created>
  <dcterms:modified xsi:type="dcterms:W3CDTF">2026-06-04T13:54:00Z</dcterms:modified>
</cp:coreProperties>
</file>