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0D6F" w:rsidRDefault="00723AFB">
      <w:pPr>
        <w:spacing w:before="240" w:after="80"/>
        <w:jc w:val="center"/>
      </w:pPr>
      <w:r>
        <w:rPr>
          <w:rFonts w:ascii="Arial" w:hAnsi="Arial"/>
          <w:b/>
          <w:color w:val="1F4E79"/>
          <w:sz w:val="36"/>
        </w:rPr>
        <w:t>Project Technical Report: FortiGate</w:t>
      </w:r>
      <w:r>
        <w:rPr>
          <w:rFonts w:ascii="Arial" w:hAnsi="Arial" w:hint="cs"/>
          <w:b/>
          <w:color w:val="1F4E79"/>
          <w:sz w:val="36"/>
          <w:rtl/>
        </w:rPr>
        <w:t xml:space="preserve"> </w:t>
      </w:r>
      <w:bookmarkStart w:id="0" w:name="_GoBack"/>
      <w:bookmarkEnd w:id="0"/>
      <w:r>
        <w:rPr>
          <w:rFonts w:ascii="Arial" w:hAnsi="Arial"/>
          <w:b/>
          <w:color w:val="1F4E79"/>
          <w:sz w:val="36"/>
        </w:rPr>
        <w:t>D</w:t>
      </w:r>
      <w:r>
        <w:rPr>
          <w:rFonts w:ascii="Arial" w:hAnsi="Arial"/>
          <w:b/>
          <w:color w:val="1F4E79"/>
          <w:sz w:val="36"/>
        </w:rPr>
        <w:t>e</w:t>
      </w:r>
      <w:r>
        <w:rPr>
          <w:rFonts w:ascii="Arial" w:hAnsi="Arial"/>
          <w:b/>
          <w:color w:val="1F4E79"/>
          <w:sz w:val="36"/>
        </w:rPr>
        <w:t>ployment</w:t>
      </w:r>
    </w:p>
    <w:p w:rsidR="00FC0D6F" w:rsidRDefault="00723AFB">
      <w:pPr>
        <w:spacing w:after="480"/>
        <w:jc w:val="center"/>
      </w:pPr>
      <w:r>
        <w:rPr>
          <w:rFonts w:ascii="Arial" w:hAnsi="Arial"/>
          <w:i/>
          <w:color w:val="2E75B6"/>
        </w:rPr>
        <w:t>Advanced Network Security Architecture &amp; Engineering Implementation</w:t>
      </w:r>
    </w:p>
    <w:p w:rsidR="00FC0D6F" w:rsidRDefault="00723AFB">
      <w:pPr>
        <w:keepNext/>
        <w:spacing w:before="360" w:after="120"/>
      </w:pPr>
      <w:r>
        <w:rPr>
          <w:rFonts w:ascii="Arial" w:hAnsi="Arial"/>
          <w:b/>
          <w:color w:val="1F4E79"/>
          <w:sz w:val="28"/>
        </w:rPr>
        <w:t>1. Objective &amp; Scope</w:t>
      </w:r>
    </w:p>
    <w:p w:rsidR="00FC0D6F" w:rsidRDefault="00723AFB">
      <w:pPr>
        <w:spacing w:after="120"/>
      </w:pPr>
      <w:r>
        <w:rPr>
          <w:rFonts w:ascii="Arial" w:hAnsi="Arial"/>
          <w:color w:val="2A2A2A"/>
        </w:rPr>
        <w:t xml:space="preserve">This report outlines the actual deployment and core engineering work completed for integrating the </w:t>
      </w:r>
      <w:r>
        <w:rPr>
          <w:rFonts w:ascii="Arial" w:hAnsi="Arial"/>
          <w:color w:val="2A2A2A"/>
        </w:rPr>
        <w:t>FortiGate</w:t>
      </w:r>
      <w:r>
        <w:rPr>
          <w:rFonts w:ascii="Arial" w:hAnsi="Arial" w:hint="cs"/>
          <w:color w:val="2A2A2A"/>
          <w:rtl/>
        </w:rPr>
        <w:t xml:space="preserve"> </w:t>
      </w:r>
      <w:r>
        <w:rPr>
          <w:rFonts w:ascii="Arial" w:hAnsi="Arial"/>
          <w:color w:val="2A2A2A"/>
        </w:rPr>
        <w:t xml:space="preserve">Firewall </w:t>
      </w:r>
      <w:r>
        <w:rPr>
          <w:rFonts w:ascii="Arial" w:hAnsi="Arial" w:hint="cs"/>
          <w:color w:val="2A2A2A"/>
          <w:rtl/>
        </w:rPr>
        <w:t>\</w:t>
      </w:r>
      <w:r>
        <w:rPr>
          <w:rFonts w:ascii="Arial" w:hAnsi="Arial"/>
          <w:color w:val="2A2A2A"/>
        </w:rPr>
        <w:t>into the university's network infrastructure. Positioned as the central security gateway between the WAN (Internet) and internal routing boundaries, the FortiGate platform introduces layer 7 visibility, deep packet</w:t>
      </w:r>
      <w:r>
        <w:rPr>
          <w:rFonts w:ascii="Arial" w:hAnsi="Arial"/>
          <w:color w:val="2A2A2A"/>
        </w:rPr>
        <w:t xml:space="preserve"> inspection, and unified threat management that cannot be accomplished using traditional router Access Control Lists (ACLs).</w:t>
      </w:r>
    </w:p>
    <w:p w:rsidR="00FC0D6F" w:rsidRDefault="00723AFB">
      <w:pPr>
        <w:keepNext/>
        <w:spacing w:before="360" w:after="120"/>
      </w:pPr>
      <w:r>
        <w:rPr>
          <w:rFonts w:ascii="Arial" w:hAnsi="Arial"/>
          <w:b/>
          <w:color w:val="1F4E79"/>
          <w:sz w:val="28"/>
        </w:rPr>
        <w:t>2. Topology Engineering &amp; Interface Mapping</w:t>
      </w:r>
    </w:p>
    <w:p w:rsidR="00FC0D6F" w:rsidRDefault="00723AFB">
      <w:pPr>
        <w:spacing w:after="120"/>
      </w:pPr>
      <w:r>
        <w:rPr>
          <w:rFonts w:ascii="Arial" w:hAnsi="Arial"/>
          <w:color w:val="2A2A2A"/>
        </w:rPr>
        <w:t>The firewall handles traffic matrix segmentation across three distinct zones using phys</w:t>
      </w:r>
      <w:r>
        <w:rPr>
          <w:rFonts w:ascii="Arial" w:hAnsi="Arial"/>
          <w:color w:val="2A2A2A"/>
        </w:rPr>
        <w:t>ical and logical interface pathways:</w:t>
      </w:r>
    </w:p>
    <w:p w:rsidR="00FC0D6F" w:rsidRDefault="00723AFB">
      <w:pPr>
        <w:pStyle w:val="a0"/>
        <w:spacing w:after="80"/>
      </w:pPr>
      <w:r>
        <w:rPr>
          <w:rFonts w:ascii="Arial" w:hAnsi="Arial"/>
          <w:b/>
          <w:color w:val="2A2A2A"/>
        </w:rPr>
        <w:t xml:space="preserve">Port 1 (WAN Zone): </w:t>
      </w:r>
      <w:r>
        <w:rPr>
          <w:rFonts w:ascii="Arial" w:hAnsi="Arial"/>
          <w:color w:val="2A2A2A"/>
        </w:rPr>
        <w:t>Configured with IP 192.168.183.1</w:t>
      </w:r>
      <w:r>
        <w:rPr>
          <w:rFonts w:ascii="Arial" w:hAnsi="Arial" w:hint="cs"/>
          <w:color w:val="2A2A2A"/>
          <w:rtl/>
        </w:rPr>
        <w:t>42</w:t>
      </w:r>
      <w:r>
        <w:rPr>
          <w:rFonts w:ascii="Arial" w:hAnsi="Arial"/>
          <w:color w:val="2A2A2A"/>
        </w:rPr>
        <w:t>/24. Acts as the outbound interface connecting the network to the Internet via the VMware NAT Gateway (192.168.183.2).</w:t>
      </w:r>
    </w:p>
    <w:p w:rsidR="00FC0D6F" w:rsidRDefault="00723AFB">
      <w:pPr>
        <w:pStyle w:val="a0"/>
        <w:spacing w:after="80"/>
      </w:pPr>
      <w:r>
        <w:rPr>
          <w:rFonts w:ascii="Arial" w:hAnsi="Arial"/>
          <w:b/>
          <w:color w:val="2A2A2A"/>
        </w:rPr>
        <w:t xml:space="preserve">Port 2 (Internal R1 Zone): </w:t>
      </w:r>
      <w:r>
        <w:rPr>
          <w:rFonts w:ascii="Arial" w:hAnsi="Arial"/>
          <w:color w:val="2A2A2A"/>
        </w:rPr>
        <w:t>Configured with IP 1</w:t>
      </w:r>
      <w:r>
        <w:rPr>
          <w:rFonts w:ascii="Arial" w:hAnsi="Arial"/>
          <w:color w:val="2A2A2A"/>
        </w:rPr>
        <w:t>1.0.0.1/24. Establishes the link to Branch Faculty networks and handles telemetry routing to the dedicated Wazuh SIEM Server (10.10.10.15).</w:t>
      </w:r>
    </w:p>
    <w:p w:rsidR="00FC0D6F" w:rsidRDefault="00723AFB">
      <w:pPr>
        <w:pStyle w:val="a0"/>
        <w:spacing w:after="80"/>
      </w:pPr>
      <w:r>
        <w:rPr>
          <w:rFonts w:ascii="Arial" w:hAnsi="Arial"/>
          <w:b/>
          <w:color w:val="2A2A2A"/>
        </w:rPr>
        <w:t xml:space="preserve">Port 3 (Internal R2 Zone): </w:t>
      </w:r>
      <w:r>
        <w:rPr>
          <w:rFonts w:ascii="Arial" w:hAnsi="Arial"/>
          <w:color w:val="2A2A2A"/>
        </w:rPr>
        <w:t>Configured with IP 12.0.0.1/24. Connects to core university downstream VLANs (VLAN 40: St</w:t>
      </w:r>
      <w:r>
        <w:rPr>
          <w:rFonts w:ascii="Arial" w:hAnsi="Arial"/>
          <w:color w:val="2A2A2A"/>
        </w:rPr>
        <w:t>udent, VLAN 50: Management, VLAN 60: Staff) via Router R2.</w:t>
      </w:r>
    </w:p>
    <w:p w:rsidR="00FC0D6F" w:rsidRDefault="00723AFB">
      <w:pPr>
        <w:keepNext/>
        <w:spacing w:before="360" w:after="120"/>
      </w:pPr>
      <w:r>
        <w:rPr>
          <w:rFonts w:ascii="Arial" w:hAnsi="Arial"/>
          <w:b/>
          <w:color w:val="1F4E79"/>
          <w:sz w:val="28"/>
        </w:rPr>
        <w:t>3. Applied Security Profiles (Layer 7 Inspection)</w:t>
      </w:r>
    </w:p>
    <w:p w:rsidR="00FC0D6F" w:rsidRDefault="00723AFB">
      <w:pPr>
        <w:spacing w:after="120"/>
      </w:pPr>
      <w:r>
        <w:rPr>
          <w:rFonts w:ascii="Arial" w:hAnsi="Arial"/>
          <w:color w:val="2A2A2A"/>
        </w:rPr>
        <w:t>To ensure enterprise-grade security enforcement, the following advanced security features were active and applied directly to traffic policies:</w:t>
      </w:r>
    </w:p>
    <w:tbl>
      <w:tblPr>
        <w:tblW w:w="0" w:type="auto"/>
        <w:jc w:val="center"/>
        <w:tblBorders>
          <w:top w:val="single" w:sz="4" w:space="0" w:color="D3D3D3"/>
          <w:bottom w:val="single" w:sz="6" w:space="0" w:color="D3D3D3"/>
          <w:insideH w:val="single" w:sz="4" w:space="0" w:color="D3D3D3"/>
        </w:tblBorders>
        <w:tblLook w:val="04A0" w:firstRow="1" w:lastRow="0" w:firstColumn="1" w:lastColumn="0" w:noHBand="0" w:noVBand="1"/>
      </w:tblPr>
      <w:tblGrid>
        <w:gridCol w:w="3120"/>
        <w:gridCol w:w="3120"/>
        <w:gridCol w:w="3120"/>
      </w:tblGrid>
      <w:tr w:rsidR="00FC0D6F">
        <w:trPr>
          <w:jc w:val="center"/>
        </w:trPr>
        <w:tc>
          <w:tcPr>
            <w:tcW w:w="3120" w:type="dxa"/>
            <w:shd w:val="clear" w:color="auto" w:fill="1F4E79"/>
            <w:tcMar>
              <w:top w:w="140" w:type="dxa"/>
              <w:left w:w="180" w:type="dxa"/>
              <w:bottom w:w="140" w:type="dxa"/>
              <w:right w:w="180" w:type="dxa"/>
            </w:tcMar>
          </w:tcPr>
          <w:p w:rsidR="00FC0D6F" w:rsidRDefault="00723AFB">
            <w:r>
              <w:rPr>
                <w:rFonts w:ascii="Arial" w:hAnsi="Arial"/>
                <w:b/>
                <w:color w:val="FFFFFF"/>
                <w:sz w:val="21"/>
              </w:rPr>
              <w:t>Sec</w:t>
            </w:r>
            <w:r>
              <w:rPr>
                <w:rFonts w:ascii="Arial" w:hAnsi="Arial"/>
                <w:b/>
                <w:color w:val="FFFFFF"/>
                <w:sz w:val="21"/>
              </w:rPr>
              <w:t>urity Feature</w:t>
            </w:r>
          </w:p>
        </w:tc>
        <w:tc>
          <w:tcPr>
            <w:tcW w:w="3120" w:type="dxa"/>
            <w:shd w:val="clear" w:color="auto" w:fill="1F4E79"/>
            <w:tcMar>
              <w:top w:w="140" w:type="dxa"/>
              <w:left w:w="180" w:type="dxa"/>
              <w:bottom w:w="140" w:type="dxa"/>
              <w:right w:w="180" w:type="dxa"/>
            </w:tcMar>
          </w:tcPr>
          <w:p w:rsidR="00FC0D6F" w:rsidRDefault="00723AFB">
            <w:r>
              <w:rPr>
                <w:rFonts w:ascii="Arial" w:hAnsi="Arial"/>
                <w:b/>
                <w:color w:val="FFFFFF"/>
                <w:sz w:val="21"/>
              </w:rPr>
              <w:t>Configuration Action / Scope</w:t>
            </w:r>
          </w:p>
        </w:tc>
        <w:tc>
          <w:tcPr>
            <w:tcW w:w="3120" w:type="dxa"/>
            <w:shd w:val="clear" w:color="auto" w:fill="1F4E79"/>
            <w:tcMar>
              <w:top w:w="140" w:type="dxa"/>
              <w:left w:w="180" w:type="dxa"/>
              <w:bottom w:w="140" w:type="dxa"/>
              <w:right w:w="180" w:type="dxa"/>
            </w:tcMar>
          </w:tcPr>
          <w:p w:rsidR="00FC0D6F" w:rsidRDefault="00723AFB">
            <w:r>
              <w:rPr>
                <w:rFonts w:ascii="Arial" w:hAnsi="Arial"/>
                <w:b/>
                <w:color w:val="FFFFFF"/>
                <w:sz w:val="21"/>
              </w:rPr>
              <w:t>Technical Justification</w:t>
            </w:r>
          </w:p>
        </w:tc>
      </w:tr>
      <w:tr w:rsidR="00FC0D6F">
        <w:trPr>
          <w:jc w:val="center"/>
        </w:trPr>
        <w:tc>
          <w:tcPr>
            <w:tcW w:w="3120" w:type="dxa"/>
            <w:tcMar>
              <w:top w:w="140" w:type="dxa"/>
              <w:left w:w="180" w:type="dxa"/>
              <w:bottom w:w="140" w:type="dxa"/>
              <w:right w:w="180" w:type="dxa"/>
            </w:tcMar>
          </w:tcPr>
          <w:p w:rsidR="00FC0D6F" w:rsidRDefault="00723AFB">
            <w:r>
              <w:rPr>
                <w:rFonts w:ascii="Arial" w:hAnsi="Arial"/>
                <w:color w:val="2A2A2A"/>
                <w:sz w:val="20"/>
              </w:rPr>
              <w:t>Intrusion Prevention (IPS)</w:t>
            </w:r>
          </w:p>
        </w:tc>
        <w:tc>
          <w:tcPr>
            <w:tcW w:w="3120" w:type="dxa"/>
            <w:tcMar>
              <w:top w:w="140" w:type="dxa"/>
              <w:left w:w="180" w:type="dxa"/>
              <w:bottom w:w="140" w:type="dxa"/>
              <w:right w:w="180" w:type="dxa"/>
            </w:tcMar>
          </w:tcPr>
          <w:p w:rsidR="00FC0D6F" w:rsidRDefault="00723AFB">
            <w:r>
              <w:rPr>
                <w:rFonts w:ascii="Arial" w:hAnsi="Arial"/>
                <w:color w:val="2A2A2A"/>
                <w:sz w:val="20"/>
              </w:rPr>
              <w:t>Severity-Based (High &amp; Critical Exploit Signatures)</w:t>
            </w:r>
          </w:p>
        </w:tc>
        <w:tc>
          <w:tcPr>
            <w:tcW w:w="3120" w:type="dxa"/>
            <w:tcMar>
              <w:top w:w="140" w:type="dxa"/>
              <w:left w:w="180" w:type="dxa"/>
              <w:bottom w:w="140" w:type="dxa"/>
              <w:right w:w="180" w:type="dxa"/>
            </w:tcMar>
          </w:tcPr>
          <w:p w:rsidR="00FC0D6F" w:rsidRDefault="00723AFB">
            <w:r>
              <w:rPr>
                <w:rFonts w:ascii="Arial" w:hAnsi="Arial"/>
                <w:color w:val="2A2A2A"/>
                <w:sz w:val="20"/>
              </w:rPr>
              <w:t>Blocks active threats, buffer overflows, and network-layer vulnerabilities in real-time.</w:t>
            </w:r>
          </w:p>
        </w:tc>
      </w:tr>
      <w:tr w:rsidR="00FC0D6F">
        <w:trPr>
          <w:jc w:val="center"/>
        </w:trPr>
        <w:tc>
          <w:tcPr>
            <w:tcW w:w="3120" w:type="dxa"/>
            <w:shd w:val="clear" w:color="auto" w:fill="F2F5F8"/>
            <w:tcMar>
              <w:top w:w="140" w:type="dxa"/>
              <w:left w:w="180" w:type="dxa"/>
              <w:bottom w:w="140" w:type="dxa"/>
              <w:right w:w="180" w:type="dxa"/>
            </w:tcMar>
          </w:tcPr>
          <w:p w:rsidR="00FC0D6F" w:rsidRDefault="00723AFB">
            <w:r>
              <w:rPr>
                <w:rFonts w:ascii="Arial" w:hAnsi="Arial"/>
                <w:color w:val="2A2A2A"/>
                <w:sz w:val="20"/>
              </w:rPr>
              <w:t>Application Control</w:t>
            </w:r>
          </w:p>
        </w:tc>
        <w:tc>
          <w:tcPr>
            <w:tcW w:w="3120" w:type="dxa"/>
            <w:shd w:val="clear" w:color="auto" w:fill="F2F5F8"/>
            <w:tcMar>
              <w:top w:w="140" w:type="dxa"/>
              <w:left w:w="180" w:type="dxa"/>
              <w:bottom w:w="140" w:type="dxa"/>
              <w:right w:w="180" w:type="dxa"/>
            </w:tcMar>
          </w:tcPr>
          <w:p w:rsidR="00FC0D6F" w:rsidRDefault="00723AFB">
            <w:r>
              <w:rPr>
                <w:rFonts w:ascii="Arial" w:hAnsi="Arial"/>
                <w:color w:val="2A2A2A"/>
                <w:sz w:val="20"/>
              </w:rPr>
              <w:t>Block: P2P, Anonymizers, Tunnels</w:t>
            </w:r>
            <w:r>
              <w:rPr>
                <w:rFonts w:ascii="Arial" w:hAnsi="Arial"/>
                <w:color w:val="2A2A2A"/>
                <w:sz w:val="20"/>
              </w:rPr>
              <w:br/>
              <w:t>Monitor: Social Media, Streaming</w:t>
            </w:r>
            <w:r>
              <w:rPr>
                <w:rFonts w:ascii="Arial" w:hAnsi="Arial"/>
                <w:color w:val="2A2A2A"/>
                <w:sz w:val="20"/>
              </w:rPr>
              <w:br/>
              <w:t xml:space="preserve">Allow: Academic / Business </w:t>
            </w:r>
            <w:r>
              <w:rPr>
                <w:rFonts w:ascii="Arial" w:hAnsi="Arial"/>
                <w:color w:val="2A2A2A"/>
                <w:sz w:val="20"/>
              </w:rPr>
              <w:lastRenderedPageBreak/>
              <w:t>Tools</w:t>
            </w:r>
          </w:p>
        </w:tc>
        <w:tc>
          <w:tcPr>
            <w:tcW w:w="3120" w:type="dxa"/>
            <w:shd w:val="clear" w:color="auto" w:fill="F2F5F8"/>
            <w:tcMar>
              <w:top w:w="140" w:type="dxa"/>
              <w:left w:w="180" w:type="dxa"/>
              <w:bottom w:w="140" w:type="dxa"/>
              <w:right w:w="180" w:type="dxa"/>
            </w:tcMar>
          </w:tcPr>
          <w:p w:rsidR="00FC0D6F" w:rsidRDefault="00723AFB">
            <w:r>
              <w:rPr>
                <w:rFonts w:ascii="Arial" w:hAnsi="Arial"/>
                <w:color w:val="2A2A2A"/>
                <w:sz w:val="20"/>
              </w:rPr>
              <w:lastRenderedPageBreak/>
              <w:t>Controls application behaviors rather than ports, protecting network bandwidth from non-academic misuse.</w:t>
            </w:r>
          </w:p>
        </w:tc>
      </w:tr>
      <w:tr w:rsidR="00FC0D6F">
        <w:trPr>
          <w:jc w:val="center"/>
        </w:trPr>
        <w:tc>
          <w:tcPr>
            <w:tcW w:w="3120" w:type="dxa"/>
            <w:tcMar>
              <w:top w:w="140" w:type="dxa"/>
              <w:left w:w="180" w:type="dxa"/>
              <w:bottom w:w="140" w:type="dxa"/>
              <w:right w:w="180" w:type="dxa"/>
            </w:tcMar>
          </w:tcPr>
          <w:p w:rsidR="00FC0D6F" w:rsidRDefault="00723AFB">
            <w:r>
              <w:rPr>
                <w:rFonts w:ascii="Arial" w:hAnsi="Arial"/>
                <w:color w:val="2A2A2A"/>
                <w:sz w:val="20"/>
              </w:rPr>
              <w:lastRenderedPageBreak/>
              <w:t>Web Filtering</w:t>
            </w:r>
          </w:p>
        </w:tc>
        <w:tc>
          <w:tcPr>
            <w:tcW w:w="3120" w:type="dxa"/>
            <w:tcMar>
              <w:top w:w="140" w:type="dxa"/>
              <w:left w:w="180" w:type="dxa"/>
              <w:bottom w:w="140" w:type="dxa"/>
              <w:right w:w="180" w:type="dxa"/>
            </w:tcMar>
          </w:tcPr>
          <w:p w:rsidR="00FC0D6F" w:rsidRDefault="00723AFB">
            <w:r>
              <w:rPr>
                <w:rFonts w:ascii="Arial" w:hAnsi="Arial"/>
                <w:color w:val="2A2A2A"/>
                <w:sz w:val="20"/>
              </w:rPr>
              <w:t xml:space="preserve">Block: </w:t>
            </w:r>
            <w:r>
              <w:rPr>
                <w:rFonts w:ascii="Arial" w:hAnsi="Arial"/>
                <w:color w:val="2A2A2A"/>
                <w:sz w:val="20"/>
              </w:rPr>
              <w:t>Malware, Phishing, Gambling, Adult</w:t>
            </w:r>
            <w:r>
              <w:rPr>
                <w:rFonts w:ascii="Arial" w:hAnsi="Arial"/>
                <w:color w:val="2A2A2A"/>
                <w:sz w:val="20"/>
              </w:rPr>
              <w:br/>
              <w:t>Allow: Educational Resources</w:t>
            </w:r>
          </w:p>
        </w:tc>
        <w:tc>
          <w:tcPr>
            <w:tcW w:w="3120" w:type="dxa"/>
            <w:tcMar>
              <w:top w:w="140" w:type="dxa"/>
              <w:left w:w="180" w:type="dxa"/>
              <w:bottom w:w="140" w:type="dxa"/>
              <w:right w:w="180" w:type="dxa"/>
            </w:tcMar>
          </w:tcPr>
          <w:p w:rsidR="00FC0D6F" w:rsidRDefault="00723AFB">
            <w:r>
              <w:rPr>
                <w:rFonts w:ascii="Arial" w:hAnsi="Arial"/>
                <w:color w:val="2A2A2A"/>
                <w:sz w:val="20"/>
              </w:rPr>
              <w:t>Enforces the university's Acceptable Use Policy (AUP) and prevents malware/credential harvesting.</w:t>
            </w:r>
          </w:p>
        </w:tc>
      </w:tr>
      <w:tr w:rsidR="00FC0D6F">
        <w:trPr>
          <w:jc w:val="center"/>
        </w:trPr>
        <w:tc>
          <w:tcPr>
            <w:tcW w:w="3120" w:type="dxa"/>
            <w:shd w:val="clear" w:color="auto" w:fill="F2F5F8"/>
            <w:tcMar>
              <w:top w:w="140" w:type="dxa"/>
              <w:left w:w="180" w:type="dxa"/>
              <w:bottom w:w="140" w:type="dxa"/>
              <w:right w:w="180" w:type="dxa"/>
            </w:tcMar>
          </w:tcPr>
          <w:p w:rsidR="00FC0D6F" w:rsidRDefault="00723AFB">
            <w:r>
              <w:rPr>
                <w:rFonts w:ascii="Arial" w:hAnsi="Arial"/>
                <w:color w:val="2A2A2A"/>
                <w:sz w:val="20"/>
              </w:rPr>
              <w:t>SSL Deep Inspection</w:t>
            </w:r>
          </w:p>
        </w:tc>
        <w:tc>
          <w:tcPr>
            <w:tcW w:w="3120" w:type="dxa"/>
            <w:shd w:val="clear" w:color="auto" w:fill="F2F5F8"/>
            <w:tcMar>
              <w:top w:w="140" w:type="dxa"/>
              <w:left w:w="180" w:type="dxa"/>
              <w:bottom w:w="140" w:type="dxa"/>
              <w:right w:w="180" w:type="dxa"/>
            </w:tcMar>
          </w:tcPr>
          <w:p w:rsidR="00FC0D6F" w:rsidRDefault="00723AFB">
            <w:r>
              <w:rPr>
                <w:rFonts w:ascii="Arial" w:hAnsi="Arial"/>
                <w:color w:val="2A2A2A"/>
                <w:sz w:val="20"/>
              </w:rPr>
              <w:t>Full Inline Decryption &amp; Inspection (Using Fortinet CA Certificate)</w:t>
            </w:r>
          </w:p>
        </w:tc>
        <w:tc>
          <w:tcPr>
            <w:tcW w:w="3120" w:type="dxa"/>
            <w:shd w:val="clear" w:color="auto" w:fill="F2F5F8"/>
            <w:tcMar>
              <w:top w:w="140" w:type="dxa"/>
              <w:left w:w="180" w:type="dxa"/>
              <w:bottom w:w="140" w:type="dxa"/>
              <w:right w:w="180" w:type="dxa"/>
            </w:tcMar>
          </w:tcPr>
          <w:p w:rsidR="00FC0D6F" w:rsidRDefault="00723AFB">
            <w:r>
              <w:rPr>
                <w:rFonts w:ascii="Arial" w:hAnsi="Arial"/>
                <w:color w:val="2A2A2A"/>
                <w:sz w:val="20"/>
              </w:rPr>
              <w:t>Decry</w:t>
            </w:r>
            <w:r>
              <w:rPr>
                <w:rFonts w:ascii="Arial" w:hAnsi="Arial"/>
                <w:color w:val="2A2A2A"/>
                <w:sz w:val="20"/>
              </w:rPr>
              <w:t>pts inbound/outbound HTTPS traffic to scan payloads, closing the visibility gap in encrypted web sessions.</w:t>
            </w:r>
          </w:p>
        </w:tc>
      </w:tr>
    </w:tbl>
    <w:p w:rsidR="00FC0D6F" w:rsidRDefault="00FC0D6F">
      <w:pPr>
        <w:spacing w:before="120"/>
      </w:pPr>
    </w:p>
    <w:p w:rsidR="00FC0D6F" w:rsidRDefault="00723AFB">
      <w:pPr>
        <w:keepNext/>
        <w:spacing w:before="360" w:after="120"/>
      </w:pPr>
      <w:r>
        <w:rPr>
          <w:rFonts w:ascii="Arial" w:hAnsi="Arial"/>
          <w:b/>
          <w:color w:val="1F4E79"/>
          <w:sz w:val="28"/>
        </w:rPr>
        <w:t>4. VPN Implementations &amp; Bandwidth Engineering</w:t>
      </w:r>
    </w:p>
    <w:p w:rsidR="00FC0D6F" w:rsidRDefault="00723AFB">
      <w:pPr>
        <w:pStyle w:val="a0"/>
        <w:spacing w:after="80"/>
      </w:pPr>
      <w:r>
        <w:rPr>
          <w:rFonts w:ascii="Arial" w:hAnsi="Arial"/>
          <w:b/>
          <w:color w:val="2A2A2A"/>
        </w:rPr>
        <w:t xml:space="preserve">SSL-VPN (Remote Access Portal): </w:t>
      </w:r>
      <w:r>
        <w:rPr>
          <w:rFonts w:ascii="Arial" w:hAnsi="Arial"/>
          <w:color w:val="2A2A2A"/>
        </w:rPr>
        <w:t xml:space="preserve">Deployed a split-tunnel remote gateway on Port 1 </w:t>
      </w:r>
      <w:r>
        <w:rPr>
          <w:rFonts w:ascii="Arial" w:hAnsi="Arial"/>
          <w:color w:val="2A2A2A"/>
        </w:rPr>
        <w:t>(listening on port 10443) with an internal address pool (10.212.134.200-.210). This securely authenticates off-campus faculty and staff, giving them encrypted access strictly to authorized internal subnets while routing their general internet traffic local</w:t>
      </w:r>
      <w:r>
        <w:rPr>
          <w:rFonts w:ascii="Arial" w:hAnsi="Arial"/>
          <w:color w:val="2A2A2A"/>
        </w:rPr>
        <w:t>ly.</w:t>
      </w:r>
    </w:p>
    <w:p w:rsidR="00FC0D6F" w:rsidRDefault="00723AFB">
      <w:pPr>
        <w:pStyle w:val="a0"/>
        <w:spacing w:after="80"/>
      </w:pPr>
      <w:r>
        <w:rPr>
          <w:rFonts w:ascii="Arial" w:hAnsi="Arial"/>
          <w:b/>
          <w:color w:val="2A2A2A"/>
        </w:rPr>
        <w:t xml:space="preserve">IPsec VPN (Site-to-Site): </w:t>
      </w:r>
      <w:r>
        <w:rPr>
          <w:rFonts w:ascii="Arial" w:hAnsi="Arial"/>
          <w:color w:val="2A2A2A"/>
        </w:rPr>
        <w:t xml:space="preserve">Engineered a permanent, hardware-accelerated IKEv2 site-to-site tunnel to link separate campus locations. Applied distinct, non-overlapping routing policies and disabled NAT on the tunnel policies to preserve native </w:t>
      </w:r>
      <w:r>
        <w:rPr>
          <w:rFonts w:ascii="Arial" w:hAnsi="Arial"/>
          <w:color w:val="2A2A2A"/>
        </w:rPr>
        <w:t>end-to-end packet tracking.</w:t>
      </w:r>
    </w:p>
    <w:p w:rsidR="00FC0D6F" w:rsidRDefault="00723AFB">
      <w:pPr>
        <w:pStyle w:val="a0"/>
        <w:spacing w:after="80"/>
      </w:pPr>
      <w:r>
        <w:rPr>
          <w:rFonts w:ascii="Arial" w:hAnsi="Arial"/>
          <w:b/>
          <w:color w:val="2A2A2A"/>
        </w:rPr>
        <w:t xml:space="preserve">Traffic Shaping (QoS): </w:t>
      </w:r>
      <w:r>
        <w:rPr>
          <w:rFonts w:ascii="Arial" w:hAnsi="Arial"/>
          <w:color w:val="2A2A2A"/>
        </w:rPr>
        <w:t xml:space="preserve">Configured bandwidth throttling and guarantees. Enforced a 'Limited-Speed' shared shaper (Max 2,000 Kbps) for student web browsing alongside a high-priority 'VoIP-Priority' shaper (Guaranteed 512 Kbps) to </w:t>
      </w:r>
      <w:r>
        <w:rPr>
          <w:rFonts w:ascii="Arial" w:hAnsi="Arial"/>
          <w:color w:val="2A2A2A"/>
        </w:rPr>
        <w:t>eliminate jitter for real-time services.</w:t>
      </w:r>
    </w:p>
    <w:p w:rsidR="00FC0D6F" w:rsidRDefault="00723AFB">
      <w:pPr>
        <w:keepNext/>
        <w:spacing w:before="360" w:after="120"/>
      </w:pPr>
      <w:r>
        <w:rPr>
          <w:rFonts w:ascii="Arial" w:hAnsi="Arial"/>
          <w:b/>
          <w:color w:val="1F4E79"/>
          <w:sz w:val="28"/>
        </w:rPr>
        <w:t>5. Centralized SIEM Monitoring (Wazuh Integration)</w:t>
      </w:r>
    </w:p>
    <w:p w:rsidR="00FC0D6F" w:rsidRDefault="00723AFB">
      <w:pPr>
        <w:spacing w:after="120"/>
      </w:pPr>
      <w:r>
        <w:rPr>
          <w:rFonts w:ascii="Arial" w:hAnsi="Arial"/>
          <w:color w:val="2A2A2A"/>
        </w:rPr>
        <w:t>The FortiGate is integrated with the central security operations center by streaming comprehensive system and security event logs to the Wazuh SIEM manager (10.10.1</w:t>
      </w:r>
      <w:r>
        <w:rPr>
          <w:rFonts w:ascii="Arial" w:hAnsi="Arial"/>
          <w:color w:val="2A2A2A"/>
        </w:rPr>
        <w:t>0.15) over UDP/514 (Syslog). This enables immediate centralized visibility into:</w:t>
      </w:r>
    </w:p>
    <w:p w:rsidR="00FC0D6F" w:rsidRDefault="00723AFB">
      <w:pPr>
        <w:pStyle w:val="a0"/>
        <w:spacing w:after="80"/>
      </w:pPr>
      <w:r>
        <w:rPr>
          <w:rFonts w:ascii="Arial" w:hAnsi="Arial"/>
          <w:b/>
          <w:color w:val="2A2A2A"/>
        </w:rPr>
        <w:t xml:space="preserve">Threat Telemetry: </w:t>
      </w:r>
      <w:r>
        <w:rPr>
          <w:rFonts w:ascii="Arial" w:hAnsi="Arial"/>
          <w:color w:val="2A2A2A"/>
        </w:rPr>
        <w:t>Active logs of blocked IPS exploits and signature hits.</w:t>
      </w:r>
    </w:p>
    <w:p w:rsidR="00FC0D6F" w:rsidRDefault="00723AFB">
      <w:pPr>
        <w:pStyle w:val="a0"/>
        <w:spacing w:after="80"/>
      </w:pPr>
      <w:r>
        <w:rPr>
          <w:rFonts w:ascii="Arial" w:hAnsi="Arial"/>
          <w:b/>
          <w:color w:val="2A2A2A"/>
        </w:rPr>
        <w:t xml:space="preserve">Policy Violations: </w:t>
      </w:r>
      <w:r>
        <w:rPr>
          <w:rFonts w:ascii="Arial" w:hAnsi="Arial"/>
          <w:color w:val="2A2A2A"/>
        </w:rPr>
        <w:t>Real-time auditing of blocked application traffic and restricted website categorie</w:t>
      </w:r>
      <w:r>
        <w:rPr>
          <w:rFonts w:ascii="Arial" w:hAnsi="Arial"/>
          <w:color w:val="2A2A2A"/>
        </w:rPr>
        <w:t>s.</w:t>
      </w:r>
    </w:p>
    <w:p w:rsidR="00FC0D6F" w:rsidRDefault="00723AFB">
      <w:pPr>
        <w:pStyle w:val="a0"/>
        <w:spacing w:after="80"/>
      </w:pPr>
      <w:r>
        <w:rPr>
          <w:rFonts w:ascii="Arial" w:hAnsi="Arial"/>
          <w:b/>
          <w:color w:val="2A2A2A"/>
        </w:rPr>
        <w:t xml:space="preserve">System Audits: </w:t>
      </w:r>
      <w:r>
        <w:rPr>
          <w:rFonts w:ascii="Arial" w:hAnsi="Arial"/>
          <w:color w:val="2A2A2A"/>
        </w:rPr>
        <w:t>Session tracking, NAT translations, VPN login sessions, and administrative access records.</w:t>
      </w:r>
    </w:p>
    <w:p w:rsidR="00FC0D6F" w:rsidRDefault="00723AFB">
      <w:pPr>
        <w:keepNext/>
        <w:spacing w:before="360" w:after="120"/>
      </w:pPr>
      <w:r>
        <w:rPr>
          <w:rFonts w:ascii="Arial" w:hAnsi="Arial"/>
          <w:b/>
          <w:color w:val="1F4E79"/>
          <w:sz w:val="28"/>
        </w:rPr>
        <w:lastRenderedPageBreak/>
        <w:t>6. Final Project Contribution</w:t>
      </w:r>
    </w:p>
    <w:p w:rsidR="00FC0D6F" w:rsidRDefault="00723AFB">
      <w:pPr>
        <w:spacing w:after="120"/>
      </w:pPr>
      <w:r>
        <w:rPr>
          <w:rFonts w:ascii="Arial" w:hAnsi="Arial"/>
          <w:color w:val="2A2A2A"/>
        </w:rPr>
        <w:t>The FortiGate implementation introduces application-layer visibility, programmatic threat mitigation, quality of serv</w:t>
      </w:r>
      <w:r>
        <w:rPr>
          <w:rFonts w:ascii="Arial" w:hAnsi="Arial"/>
          <w:color w:val="2A2A2A"/>
        </w:rPr>
        <w:t>ice control, and unified telemetry auditing. Serving as the primary security anchor of the design, this implementation delivers necessary defenses and architectural compliance that are technically impossible to replicate using standard routing ACLs alone.</w:t>
      </w:r>
    </w:p>
    <w:sectPr w:rsidR="00FC0D6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3AFB"/>
    <w:rsid w:val="00AA1D8D"/>
    <w:rsid w:val="00B47730"/>
    <w:rsid w:val="00CB0664"/>
    <w:rsid w:val="00FC0D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786888"/>
  <w14:defaultImageDpi w14:val="300"/>
  <w15:docId w15:val="{5DFADF58-ACEC-44B9-B806-D398FE90F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797474-9894-4B42-B815-4DFB2D4B8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KERO HANY</cp:lastModifiedBy>
  <cp:revision>2</cp:revision>
  <dcterms:created xsi:type="dcterms:W3CDTF">2013-12-23T23:15:00Z</dcterms:created>
  <dcterms:modified xsi:type="dcterms:W3CDTF">2026-07-08T13:47:00Z</dcterms:modified>
  <cp:category/>
</cp:coreProperties>
</file>