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Default="0017405D" w:rsidP="008211C6">
      <w:pPr>
        <w:spacing w:line="360" w:lineRule="auto"/>
      </w:pPr>
      <w: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17405D" w:rsidRDefault="0017405D" w:rsidP="008211C6">
      <w:pPr>
        <w:spacing w:line="360" w:lineRule="auto"/>
      </w:pPr>
      <w:r>
        <w:t xml:space="preserve">At first, we must define how we express the workable area at the tool bit. From the </w:t>
      </w:r>
      <w:r>
        <w:rPr>
          <w:i/>
          <w:iCs/>
        </w:rPr>
        <w:t>Matlab</w:t>
      </w:r>
      <w:r>
        <w:t xml:space="preserve"> plots results discussed in the CFP, we already know the general shape of these areas. They can be </w:t>
      </w:r>
      <w:r w:rsidR="002131C2">
        <w:rPr>
          <w:i/>
          <w:iCs/>
        </w:rPr>
        <w:t>approximated</w:t>
      </w:r>
      <w:r>
        <w:t xml:space="preserve"> as the area between two circular boundaries, one boundary of which is larger than the other. Thus, we define the outer or larger curved boundary as R</w:t>
      </w:r>
      <w:r>
        <w:rPr>
          <w:vertAlign w:val="subscript"/>
        </w:rPr>
        <w:t>max</w:t>
      </w:r>
      <w:r>
        <w:t xml:space="preserve"> and the inner our smaller curved boundary as R</w:t>
      </w:r>
      <w:r>
        <w:rPr>
          <w:vertAlign w:val="subscript"/>
        </w:rPr>
        <w:t>min</w:t>
      </w:r>
      <w:r>
        <w:t xml:space="preserve">. </w:t>
      </w:r>
      <w:r w:rsidR="002131C2">
        <w:t>The side boundaries of the workable area are approximated as straight vertical lines, and the distance between them is called Range</w:t>
      </w:r>
      <w:r w:rsidR="002131C2">
        <w:rPr>
          <w:vertAlign w:val="subscript"/>
        </w:rPr>
        <w:t>x</w:t>
      </w:r>
      <w:r w:rsidR="002131C2">
        <w:t>. Thus, the workable area looks like the following (note: in reality, the origins of the radii should be different, but this is a very close approximation):</w:t>
      </w:r>
    </w:p>
    <w:p w:rsidR="002131C2" w:rsidRPr="002131C2" w:rsidRDefault="002131C2" w:rsidP="008211C6">
      <w:pPr>
        <w:spacing w:line="360" w:lineRule="auto"/>
      </w:pPr>
      <w:r>
        <w:rPr>
          <w:noProof/>
          <w:lang w:bidi="ar-SA"/>
        </w:rPr>
        <w:pict>
          <v:group id="_x0000_s1038" style="position:absolute;left:0;text-align:left;margin-left:99.5pt;margin-top:.3pt;width:220.1pt;height:148.05pt;z-index:251670528" coordorigin="3430,5877" coordsize="4402,2961">
            <v:shapetype id="_x0000_t32" coordsize="21600,21600" o:spt="32" o:oned="t" path="m,l21600,21600e" filled="f">
              <v:path arrowok="t" fillok="f" o:connecttype="none"/>
              <o:lock v:ext="edit" shapetype="t"/>
            </v:shapetype>
            <v:shape id="_x0000_s1029" type="#_x0000_t32" style="position:absolute;left:7832;top:6973;width:0;height:1178;flip:y" o:connectortype="straight"/>
            <v:group id="_x0000_s1037" style="position:absolute;left:3430;top:5877;width:4402;height:2961" coordorigin="3248,5864" coordsize="4402,296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left:5192;top:4516;width:513;height:4402;rotation:270" coordsize="21799,43200" adj=",5932852,199" path="wr-21401,,21799,43200,199,,,43199nfewr-21401,,21799,43200,199,,,43199l199,21600nsxe">
                <v:path o:connectlocs="199,0;0,43199;199,21600"/>
              </v:shape>
              <v:shape id="_x0000_s1028" type="#_x0000_t19" style="position:absolute;left:5224;top:5726;width:449;height:4402;rotation:270" coordsize="21799,43200" adj=",5932852,199" path="wr-21401,,21799,43200,199,,,43199nfewr-21401,,21799,43200,199,,,43199l199,21600nsxe">
                <v:path o:connectlocs="199,0;0,43199;199,21600"/>
              </v:shape>
              <v:shape id="_x0000_s1030" type="#_x0000_t32" style="position:absolute;left:3248;top:6973;width:0;height:1178;flip:y" o:connectortype="straight"/>
              <v:shape id="_x0000_s1031" type="#_x0000_t32" style="position:absolute;left:5456;top:6539;width:13;height:2286;flip:x y" o:connectortype="straight">
                <v:stroke endarrow="block"/>
              </v:shape>
              <v:shape id="_x0000_s1032" type="#_x0000_t32" style="position:absolute;left:5628;top:7702;width:0;height:1123;flip:y" o:connectortype="straight">
                <v:stroke endarrow="block"/>
              </v:shape>
              <v:shape id="_x0000_s1033" type="#_x0000_t32" style="position:absolute;left:3248;top:6341;width:4402;height:0" o:connectortype="straight">
                <v:stroke startarrow="block" endarrow="block"/>
              </v:shape>
              <v:shapetype id="_x0000_t202" coordsize="21600,21600" o:spt="202" path="m,l,21600r21600,l21600,xe">
                <v:stroke joinstyle="miter"/>
                <v:path gradientshapeok="t" o:connecttype="rect"/>
              </v:shapetype>
              <v:shape id="_x0000_s1034" type="#_x0000_t202" style="position:absolute;left:5856;top:8151;width:658;height:413;mso-height-percent:200;mso-height-percent:200;mso-width-relative:margin;mso-height-relative:margin" stroked="f">
                <v:textbox style="mso-fit-shape-to-text:t">
                  <w:txbxContent>
                    <w:p w:rsidR="002131C2" w:rsidRDefault="002131C2" w:rsidP="002131C2">
                      <w:pPr>
                        <w:ind w:firstLine="0"/>
                      </w:pPr>
                      <w:r>
                        <w:t>R</w:t>
                      </w:r>
                      <w:r>
                        <w:rPr>
                          <w:vertAlign w:val="subscript"/>
                        </w:rPr>
                        <w:t>min</w:t>
                      </w:r>
                    </w:p>
                  </w:txbxContent>
                </v:textbox>
              </v:shape>
              <v:shape id="_x0000_s1035" type="#_x0000_t202" style="position:absolute;left:4630;top:6973;width:658;height:413;mso-height-percent:200;mso-height-percent:200;mso-width-relative:margin;mso-height-relative:margin" stroked="f">
                <v:textbox style="mso-fit-shape-to-text:t">
                  <w:txbxContent>
                    <w:p w:rsidR="002131C2" w:rsidRDefault="002131C2" w:rsidP="002131C2">
                      <w:pPr>
                        <w:ind w:firstLine="0"/>
                      </w:pPr>
                      <w:r>
                        <w:t>R</w:t>
                      </w:r>
                      <w:r>
                        <w:rPr>
                          <w:vertAlign w:val="subscript"/>
                        </w:rPr>
                        <w:t>max</w:t>
                      </w:r>
                    </w:p>
                  </w:txbxContent>
                </v:textbox>
              </v:shape>
              <v:shape id="_x0000_s1036" type="#_x0000_t202" style="position:absolute;left:5051;top:5864;width:934;height:413;mso-height-percent:200;mso-height-percent:200;mso-width-relative:margin;mso-height-relative:margin" stroked="f">
                <v:textbox style="mso-fit-shape-to-text:t">
                  <w:txbxContent>
                    <w:p w:rsidR="002131C2" w:rsidRPr="002131C2" w:rsidRDefault="002131C2" w:rsidP="002131C2">
                      <w:pPr>
                        <w:ind w:firstLine="0"/>
                      </w:pPr>
                      <w:r>
                        <w:t>Range</w:t>
                      </w:r>
                      <w:r>
                        <w:rPr>
                          <w:vertAlign w:val="subscript"/>
                        </w:rPr>
                        <w:t>x</w:t>
                      </w:r>
                    </w:p>
                  </w:txbxContent>
                </v:textbox>
              </v:shape>
            </v:group>
          </v:group>
        </w:pict>
      </w:r>
    </w:p>
    <w:p w:rsid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Default="008211C6" w:rsidP="008211C6">
      <w:pPr>
        <w:spacing w:line="360" w:lineRule="auto"/>
      </w:pPr>
      <w:r>
        <w:rPr>
          <w:noProof/>
          <w:lang w:bidi="ar-SA"/>
        </w:rPr>
        <w:pict>
          <v:group id="_x0000_s1075" style="position:absolute;left:0;text-align:left;margin-left:106.45pt;margin-top:56.2pt;width:199.75pt;height:199.7pt;z-index:251694080" coordorigin="3606,10660" coordsize="3995,3994">
            <v:group id="_x0000_s1073" style="position:absolute;left:4213;top:10660;width:3388;height:3994" coordorigin="2650,10472" coordsize="3388,3994">
              <v:shape id="_x0000_s1065" type="#_x0000_t32" style="position:absolute;left:3792;top:11137;width:792;height:0" o:connectortype="straight">
                <v:stroke dashstyle="1 1"/>
              </v:shape>
              <v:group id="_x0000_s1072" style="position:absolute;left:2650;top:10472;width:3388;height:3994" coordorigin="2263,10472" coordsize="3388,3994">
                <v:shape id="_x0000_s1040" type="#_x0000_t32" style="position:absolute;left:3400;top:11137;width:805;height:1096;flip:x y" o:connectortype="straight"/>
                <v:group id="_x0000_s1071" style="position:absolute;left:2263;top:10472;width:3388;height:3994" coordorigin="2642,10472" coordsize="3388,3994">
                  <v:shape id="_x0000_s1039" type="#_x0000_t32" style="position:absolute;left:4584;top:12233;width:13;height:2233;flip:x" o:connectortype="straight"/>
                  <v:shape id="_x0000_s1041" type="#_x0000_t32" style="position:absolute;left:3792;top:11137;width:2018;height:1255" o:connectortype="straight"/>
                  <v:shape id="_x0000_s1044" type="#_x0000_t32" style="position:absolute;left:4597;top:12392;width:1213;height:2074;flip:y" o:connectortype="straight">
                    <v:stroke dashstyle="dash" endarrow="block"/>
                  </v:shape>
                  <v:shape id="_x0000_s1057" type="#_x0000_t202" style="position:absolute;left:3935;top:12815;width:490;height:413;mso-height-percent:200;mso-height-percent:200;mso-width-relative:margin;mso-height-relative:margin" stroked="f">
                    <v:textbox style="mso-next-textbox:#_x0000_s1057;mso-fit-shape-to-text:t">
                      <w:txbxContent>
                        <w:p w:rsidR="005417CA" w:rsidRPr="005417CA" w:rsidRDefault="005417CA" w:rsidP="005417CA">
                          <w:pPr>
                            <w:ind w:firstLine="0"/>
                          </w:pPr>
                          <w:r>
                            <w:t>L</w:t>
                          </w:r>
                          <w:r>
                            <w:rPr>
                              <w:vertAlign w:val="subscript"/>
                            </w:rPr>
                            <w:t>R</w:t>
                          </w:r>
                        </w:p>
                      </w:txbxContent>
                    </v:textbox>
                  </v:shape>
                  <v:shape id="_x0000_s1058" type="#_x0000_t202" style="position:absolute;left:3568;top:11731;width:490;height:413;mso-height-percent:200;mso-height-percent:200;mso-width-relative:margin;mso-height-relative:margin" stroked="f">
                    <v:textbox style="mso-next-textbox:#_x0000_s1058;mso-fit-shape-to-text:t">
                      <w:txbxContent>
                        <w:p w:rsidR="005417CA" w:rsidRPr="005417CA" w:rsidRDefault="005417CA" w:rsidP="005417CA">
                          <w:pPr>
                            <w:ind w:firstLine="0"/>
                          </w:pPr>
                          <w:r>
                            <w:t>L</w:t>
                          </w:r>
                          <w:r>
                            <w:rPr>
                              <w:vertAlign w:val="subscript"/>
                            </w:rPr>
                            <w:t>3</w:t>
                          </w:r>
                        </w:p>
                      </w:txbxContent>
                    </v:textbox>
                  </v:shape>
                  <v:shape id="_x0000_s1059" type="#_x0000_t202" style="position:absolute;left:5050;top:11401;width:490;height:413;mso-height-percent:200;mso-height-percent:200;mso-width-relative:margin;mso-height-relative:margin" stroked="f">
                    <v:textbox style="mso-next-textbox:#_x0000_s1059;mso-fit-shape-to-text:t">
                      <w:txbxContent>
                        <w:p w:rsidR="005417CA" w:rsidRPr="005417CA" w:rsidRDefault="005417CA" w:rsidP="005417CA">
                          <w:pPr>
                            <w:ind w:firstLine="0"/>
                          </w:pPr>
                          <w:r>
                            <w:t>L</w:t>
                          </w:r>
                          <w:r>
                            <w:rPr>
                              <w:vertAlign w:val="subscript"/>
                            </w:rPr>
                            <w:t>5</w:t>
                          </w:r>
                        </w:p>
                      </w:txbxContent>
                    </v:textbox>
                  </v:shape>
                  <v:shape id="_x0000_s1060" type="#_x0000_t202" style="position:absolute;left:5540;top:13228;width:490;height:413;mso-height-percent:200;mso-height-percent:200;mso-width-relative:margin;mso-height-relative:margin" stroked="f">
                    <v:textbox style="mso-next-textbox:#_x0000_s1060;mso-fit-shape-to-text:t">
                      <w:txbxContent>
                        <w:p w:rsidR="005417CA" w:rsidRPr="005417CA" w:rsidRDefault="005417CA" w:rsidP="005417CA">
                          <w:pPr>
                            <w:ind w:firstLine="0"/>
                          </w:pPr>
                          <w:r>
                            <w:t>R</w:t>
                          </w:r>
                        </w:p>
                      </w:txbxContent>
                    </v:textbox>
                  </v:shape>
                  <v:shape id="_x0000_s1061" type="#_x0000_t19" style="position:absolute;left:3935;top:11324;width:143;height:123;flip:y" coordsize="21600,18646" adj="-3911224,,,18646" path="wr-21600,-2954,21600,40246,10904,,21600,18646nfewr-21600,-2954,21600,40246,10904,,21600,18646l,18646nsxe">
                    <v:path o:connectlocs="10904,0;21600,18646;0,18646"/>
                  </v:shape>
                  <v:shape id="_x0000_s1062" type="#_x0000_t32" style="position:absolute;left:3240;top:11160;width:725;height:187;flip:x y" o:connectortype="straight"/>
                  <v:shape id="_x0000_s1063" type="#_x0000_t202" style="position:absolute;left:2642;top:10911;width:598;height:413;mso-height-percent:200;mso-height-percent:200;mso-width-relative:margin;mso-height-relative:margin" stroked="f">
                    <v:textbox style="mso-next-textbox:#_x0000_s1063;mso-fit-shape-to-text:t">
                      <w:txbxContent>
                        <w:p w:rsidR="008211C6" w:rsidRPr="005417CA" w:rsidRDefault="008211C6" w:rsidP="008211C6">
                          <w:pPr>
                            <w:ind w:firstLine="0"/>
                          </w:pPr>
                          <w:r>
                            <w:t>θ</w:t>
                          </w:r>
                          <w:r>
                            <w:rPr>
                              <w:vertAlign w:val="subscript"/>
                            </w:rPr>
                            <w:t>3-5</w:t>
                          </w:r>
                        </w:p>
                      </w:txbxContent>
                    </v:textbox>
                  </v:shape>
                  <v:shape id="_x0000_s1064" type="#_x0000_t32" style="position:absolute;left:4597;top:10741;width:0;height:1334;flip:y" o:connectortype="straight">
                    <v:stroke dashstyle="1 1"/>
                  </v:shape>
                  <v:shape id="_x0000_s1066" type="#_x0000_t19" style="position:absolute;left:4192;top:11160;width:166;height:187;flip:y" coordsize="25025,21600" adj="-6496238,,3425" path="wr-18175,,25025,43200,,273,25025,21600nfewr-18175,,25025,43200,,273,25025,21600l3425,21600nsxe">
                    <v:path o:connectlocs="0,273;25025,21600;3425,21600"/>
                  </v:shape>
                  <v:shape id="_x0000_s1067" type="#_x0000_t32" style="position:absolute;left:3699;top:10741;width:506;height:419;flip:x y" o:connectortype="straight"/>
                  <v:shape id="_x0000_s1068" type="#_x0000_t202" style="position:absolute;left:3129;top:10472;width:556;height:413;mso-height-percent:200;mso-height-percent:200;mso-width-relative:margin;mso-height-relative:margin" stroked="f">
                    <v:textbox style="mso-next-textbox:#_x0000_s1068;mso-fit-shape-to-text:t">
                      <w:txbxContent>
                        <w:p w:rsidR="008211C6" w:rsidRPr="005417CA" w:rsidRDefault="008211C6" w:rsidP="008211C6">
                          <w:pPr>
                            <w:ind w:firstLine="0"/>
                          </w:pPr>
                          <w:r>
                            <w:t>θ</w:t>
                          </w:r>
                          <w:r>
                            <w:rPr>
                              <w:vertAlign w:val="subscript"/>
                            </w:rPr>
                            <w:t>5</w:t>
                          </w:r>
                        </w:p>
                      </w:txbxContent>
                    </v:textbox>
                  </v:shape>
                </v:group>
              </v:group>
            </v:group>
            <v:group id="_x0000_s1074" style="position:absolute;left:3606;top:13644;width:980;height:1010" coordorigin="1743,13644" coordsize="980,1010">
              <v:shape id="_x0000_s1042" type="#_x0000_t32" style="position:absolute;left:1942;top:14057;width:0;height:409;flip:y" o:connectortype="straight">
                <v:stroke endarrow="block"/>
              </v:shape>
              <v:shape id="_x0000_s1043" type="#_x0000_t32" style="position:absolute;left:1942;top:14466;width:291;height:0" o:connectortype="straight">
                <v:stroke endarrow="block"/>
              </v:shape>
              <v:shape id="_x0000_s1069" type="#_x0000_t202" style="position:absolute;left:2233;top:14241;width:490;height:413;mso-height-percent:200;mso-height-percent:200;mso-width-relative:margin;mso-height-relative:margin" stroked="f">
                <v:textbox style="mso-next-textbox:#_x0000_s1069;mso-fit-shape-to-text:t">
                  <w:txbxContent>
                    <w:p w:rsidR="008211C6" w:rsidRPr="005417CA" w:rsidRDefault="008211C6" w:rsidP="008211C6">
                      <w:pPr>
                        <w:ind w:firstLine="0"/>
                      </w:pPr>
                      <w:r>
                        <w:t>y</w:t>
                      </w:r>
                    </w:p>
                  </w:txbxContent>
                </v:textbox>
              </v:shape>
              <v:shape id="_x0000_s1070" type="#_x0000_t202" style="position:absolute;left:1743;top:13644;width:490;height:413;mso-height-percent:200;mso-height-percent:200;mso-width-relative:margin;mso-height-relative:margin" stroked="f">
                <v:textbox style="mso-next-textbox:#_x0000_s1070;mso-fit-shape-to-text:t">
                  <w:txbxContent>
                    <w:p w:rsidR="008211C6" w:rsidRPr="005417CA" w:rsidRDefault="00990BA5" w:rsidP="008211C6">
                      <w:pPr>
                        <w:ind w:firstLine="0"/>
                      </w:pPr>
                      <w:r>
                        <w:t>z</w:t>
                      </w:r>
                    </w:p>
                  </w:txbxContent>
                </v:textbox>
              </v:shape>
            </v:group>
          </v:group>
        </w:pict>
      </w:r>
      <w:r w:rsidR="005417CA">
        <w:t>With the workspace coordinates defined, we must also define the variables on the linkage design in order to optimize the linkage sizes. A number of variables are incredibly important to this analysis, and are identified and illustrated below:</w:t>
      </w:r>
    </w:p>
    <w:p w:rsidR="005417CA" w:rsidRDefault="005417CA" w:rsidP="008211C6">
      <w:pPr>
        <w:spacing w:line="360" w:lineRule="auto"/>
      </w:pPr>
    </w:p>
    <w:p w:rsidR="008211C6" w:rsidRDefault="008211C6" w:rsidP="008211C6">
      <w:pPr>
        <w:spacing w:line="360" w:lineRule="auto"/>
      </w:pPr>
    </w:p>
    <w:p w:rsidR="008211C6" w:rsidRDefault="008211C6" w:rsidP="008211C6">
      <w:pPr>
        <w:spacing w:line="360" w:lineRule="auto"/>
      </w:pPr>
    </w:p>
    <w:p w:rsidR="008211C6" w:rsidRDefault="008211C6" w:rsidP="008211C6">
      <w:pPr>
        <w:spacing w:line="360" w:lineRule="auto"/>
      </w:pPr>
    </w:p>
    <w:p w:rsidR="008211C6" w:rsidRDefault="008211C6" w:rsidP="008211C6">
      <w:pPr>
        <w:spacing w:line="360" w:lineRule="auto"/>
      </w:pPr>
    </w:p>
    <w:p w:rsidR="008211C6" w:rsidRDefault="008211C6" w:rsidP="008211C6">
      <w:pPr>
        <w:spacing w:line="360" w:lineRule="auto"/>
      </w:pPr>
    </w:p>
    <w:p w:rsidR="008211C6" w:rsidRPr="008211C6" w:rsidRDefault="008211C6" w:rsidP="008211C6">
      <w:pPr>
        <w:spacing w:line="360" w:lineRule="auto"/>
      </w:pPr>
    </w:p>
    <w:p w:rsidR="008211C6" w:rsidRPr="008211C6" w:rsidRDefault="008211C6" w:rsidP="008211C6">
      <w:pPr>
        <w:spacing w:line="360" w:lineRule="auto"/>
      </w:pPr>
    </w:p>
    <w:p w:rsidR="008211C6" w:rsidRPr="008211C6" w:rsidRDefault="008211C6" w:rsidP="008211C6">
      <w:pPr>
        <w:spacing w:line="360" w:lineRule="auto"/>
      </w:pPr>
    </w:p>
    <w:p w:rsidR="008211C6" w:rsidRDefault="007748F5" w:rsidP="008211C6">
      <w:pPr>
        <w:spacing w:line="360" w:lineRule="auto"/>
      </w:pPr>
      <w:r>
        <w:lastRenderedPageBreak/>
        <w:t xml:space="preserve">From the setup above, we can </w:t>
      </w:r>
      <w:r w:rsidR="00990BA5">
        <w:t>write the following geometric relationships between distances and angles:</w:t>
      </w:r>
    </w:p>
    <w:p w:rsidR="00990BA5" w:rsidRDefault="00990BA5" w:rsidP="00F27DE9">
      <w:pPr>
        <w:spacing w:line="360" w:lineRule="auto"/>
        <w:jc w:val="center"/>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R</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2</m:t>
            </m:r>
          </m:sup>
        </m:sSup>
        <m:r>
          <w:rPr>
            <w:rFonts w:ascii="Cambria Math" w:hAnsi="Cambria Math"/>
          </w:rPr>
          <m:t xml:space="preserve">- 2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cos</m:t>
        </m:r>
        <m:sSub>
          <m:sSubPr>
            <m:ctrlPr>
              <w:rPr>
                <w:rFonts w:ascii="Cambria Math" w:hAnsi="Cambria Math"/>
                <w:i/>
              </w:rPr>
            </m:ctrlPr>
          </m:sSubPr>
          <m:e>
            <m:r>
              <w:rPr>
                <w:rFonts w:ascii="Cambria Math" w:hAnsi="Cambria Math"/>
              </w:rPr>
              <m:t>θ</m:t>
            </m:r>
          </m:e>
          <m:sub>
            <m:r>
              <w:rPr>
                <w:rFonts w:ascii="Cambria Math" w:hAnsi="Cambria Math"/>
              </w:rPr>
              <m:t>12</m:t>
            </m:r>
          </m:sub>
        </m:sSub>
      </m:oMath>
      <w:r>
        <w:rPr>
          <w:rFonts w:eastAsiaTheme="minorEastAsia"/>
        </w:rPr>
        <w:t xml:space="preserve">  (note: L</w:t>
      </w:r>
      <w:r>
        <w:rPr>
          <w:rFonts w:eastAsiaTheme="minorEastAsia"/>
          <w:vertAlign w:val="subscript"/>
        </w:rPr>
        <w:t>1</w:t>
      </w:r>
      <w:r>
        <w:rPr>
          <w:rFonts w:eastAsiaTheme="minorEastAsia"/>
        </w:rPr>
        <w:t xml:space="preserve"> , L</w:t>
      </w:r>
      <w:r>
        <w:rPr>
          <w:rFonts w:eastAsiaTheme="minorEastAsia"/>
          <w:vertAlign w:val="subscript"/>
        </w:rPr>
        <w:t>2</w:t>
      </w:r>
      <w:r>
        <w:rPr>
          <w:rFonts w:eastAsiaTheme="minorEastAsia"/>
        </w:rPr>
        <w:t xml:space="preserve"> and θ</w:t>
      </w:r>
      <w:r>
        <w:rPr>
          <w:rFonts w:eastAsiaTheme="minorEastAsia"/>
          <w:vertAlign w:val="subscript"/>
        </w:rPr>
        <w:t>12</w:t>
      </w:r>
      <w:r>
        <w:rPr>
          <w:rFonts w:eastAsiaTheme="minorEastAsia"/>
        </w:rPr>
        <w:t xml:space="preserve"> are not shown in the diagram)</w:t>
      </w:r>
    </w:p>
    <w:p w:rsidR="00F27DE9" w:rsidRDefault="00990BA5" w:rsidP="00F27DE9">
      <w:pPr>
        <w:spacing w:line="360" w:lineRule="auto"/>
        <w:rPr>
          <w:rFonts w:eastAsiaTheme="minorEastAsia"/>
        </w:rPr>
      </w:pPr>
      <w:r>
        <w:rPr>
          <w:rFonts w:eastAsiaTheme="minorEastAsia"/>
        </w:rPr>
        <w:t>We will create a virtual length called L</w:t>
      </w:r>
      <w:r>
        <w:rPr>
          <w:rFonts w:eastAsiaTheme="minorEastAsia"/>
          <w:vertAlign w:val="superscript"/>
        </w:rPr>
        <w:t>’</w:t>
      </w:r>
      <w:r>
        <w:rPr>
          <w:rFonts w:eastAsiaTheme="minorEastAsia"/>
          <w:vertAlign w:val="subscript"/>
        </w:rPr>
        <w:t>5</w:t>
      </w:r>
      <w:r w:rsidR="00F27DE9">
        <w:rPr>
          <w:rFonts w:eastAsiaTheme="minorEastAsia"/>
        </w:rPr>
        <w:t>:</w:t>
      </w:r>
    </w:p>
    <w:p w:rsidR="00990BA5" w:rsidRDefault="00990BA5" w:rsidP="00F27DE9">
      <w:pPr>
        <w:spacing w:line="360" w:lineRule="auto"/>
        <w:jc w:val="center"/>
        <w:rPr>
          <w:rFonts w:eastAsiaTheme="minorEastAsia"/>
        </w:rPr>
      </w:pPr>
      <w:r>
        <w:rPr>
          <w:rFonts w:eastAsiaTheme="minorEastAsia"/>
        </w:rPr>
        <w:t>L</w:t>
      </w:r>
      <w:r>
        <w:rPr>
          <w:rFonts w:eastAsiaTheme="minorEastAsia"/>
          <w:vertAlign w:val="superscript"/>
        </w:rPr>
        <w:t>’</w:t>
      </w:r>
      <w:r>
        <w:rPr>
          <w:rFonts w:eastAsiaTheme="minorEastAsia"/>
          <w:vertAlign w:val="subscript"/>
        </w:rPr>
        <w:t>5</w:t>
      </w:r>
      <w:r>
        <w:rPr>
          <w:rFonts w:eastAsiaTheme="minorEastAsia"/>
        </w:rPr>
        <w:t xml:space="preserve"> = L</w:t>
      </w:r>
      <w:r>
        <w:rPr>
          <w:rFonts w:eastAsiaTheme="minorEastAsia"/>
          <w:vertAlign w:val="subscript"/>
        </w:rPr>
        <w:t>5</w:t>
      </w:r>
      <w:r>
        <w:rPr>
          <w:rFonts w:eastAsiaTheme="minorEastAsia"/>
        </w:rPr>
        <w:t>cosθ</w:t>
      </w:r>
      <w:r>
        <w:rPr>
          <w:rFonts w:eastAsiaTheme="minorEastAsia"/>
          <w:vertAlign w:val="subscript"/>
        </w:rPr>
        <w:t>5</w:t>
      </w:r>
    </w:p>
    <w:p w:rsidR="00990BA5" w:rsidRDefault="00990BA5" w:rsidP="00990BA5">
      <w:pPr>
        <w:spacing w:line="360" w:lineRule="auto"/>
      </w:pPr>
      <w:r>
        <w:t>With that new virtual length, we can define the “reachable” length in the “z” and “y” directions stated above:</w:t>
      </w:r>
    </w:p>
    <w:p w:rsidR="00990BA5" w:rsidRPr="00990BA5" w:rsidRDefault="00990BA5" w:rsidP="00F27DE9">
      <w:pPr>
        <w:spacing w:line="360" w:lineRule="auto"/>
        <w:jc w:val="center"/>
      </w:pPr>
      <m:oMath>
        <m:r>
          <w:rPr>
            <w:rFonts w:ascii="Cambria Math" w:hAnsi="Cambria Math"/>
          </w:rPr>
          <m:t xml:space="preserve">z= </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m:rPr>
            <m:sty m:val="p"/>
          </m:rPr>
          <w:rPr>
            <w:rFonts w:ascii="Cambria Math" w:hAnsi="Cambria Math"/>
          </w:rPr>
          <m:t>cos⁡</m:t>
        </m:r>
        <m:r>
          <w:rPr>
            <w:rFonts w:ascii="Cambria Math" w:hAnsi="Cambria Math"/>
          </w:rPr>
          <m:t>(</m:t>
        </m:r>
      </m:oMath>
      <w:r>
        <w:rPr>
          <w:rFonts w:eastAsiaTheme="minorEastAsia"/>
        </w:rPr>
        <w:t xml:space="preserve">90 - </w:t>
      </w:r>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3-5</m:t>
            </m:r>
          </m:sub>
        </m:sSub>
      </m:oMath>
      <w:r w:rsidR="00F27DE9">
        <w:rPr>
          <w:rFonts w:eastAsiaTheme="minorEastAsia"/>
        </w:rPr>
        <w:t>)</w:t>
      </w:r>
    </w:p>
    <w:p w:rsidR="00F27DE9" w:rsidRPr="00990BA5" w:rsidRDefault="00F27DE9" w:rsidP="00F27DE9">
      <w:pPr>
        <w:spacing w:line="360" w:lineRule="auto"/>
        <w:jc w:val="center"/>
      </w:pPr>
      <m:oMath>
        <m:r>
          <w:rPr>
            <w:rFonts w:ascii="Cambria Math" w:hAnsi="Cambria Math"/>
          </w:rPr>
          <m:t>y=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m:rPr>
            <m:sty m:val="p"/>
          </m:rPr>
          <w:rPr>
            <w:rFonts w:ascii="Cambria Math" w:hAnsi="Cambria Math"/>
          </w:rPr>
          <m:t>cos⁡</m:t>
        </m:r>
        <m:r>
          <w:rPr>
            <w:rFonts w:ascii="Cambria Math" w:hAnsi="Cambria Math"/>
          </w:rPr>
          <m:t>(</m:t>
        </m:r>
      </m:oMath>
      <w:r>
        <w:rPr>
          <w:rFonts w:eastAsiaTheme="minorEastAsia"/>
        </w:rPr>
        <w:t xml:space="preserve">90 - </w:t>
      </w:r>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3-5</m:t>
            </m:r>
          </m:sub>
        </m:sSub>
      </m:oMath>
      <w:r>
        <w:rPr>
          <w:rFonts w:eastAsiaTheme="minorEastAsia"/>
        </w:rPr>
        <w:t>)</w:t>
      </w:r>
    </w:p>
    <w:p w:rsidR="00B87DD3" w:rsidRDefault="00B87DD3" w:rsidP="00B87DD3">
      <w:pPr>
        <w:spacing w:line="360" w:lineRule="auto"/>
      </w:pPr>
      <w:r>
        <w:t>Since the “z” and “y” lengths described above are components of the R vector, we can compute the length of R simply as such:</w:t>
      </w:r>
    </w:p>
    <w:p w:rsidR="00B87DD3" w:rsidRPr="008211C6" w:rsidRDefault="00B87DD3" w:rsidP="00B87DD3">
      <w:pPr>
        <w:spacing w:line="360" w:lineRule="auto"/>
      </w:pPr>
      <m:oMathPara>
        <m:oMath>
          <m:r>
            <w:rPr>
              <w:rFonts w:ascii="Cambria Math" w:hAnsi="Cambria Math"/>
            </w:rPr>
            <m:t xml:space="preserve">R=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8211C6" w:rsidRPr="008211C6" w:rsidRDefault="008211C6" w:rsidP="008211C6">
      <w:pPr>
        <w:spacing w:line="360" w:lineRule="auto"/>
      </w:pPr>
    </w:p>
    <w:p w:rsidR="008211C6" w:rsidRDefault="000E46A5" w:rsidP="008211C6">
      <w:pPr>
        <w:spacing w:line="360" w:lineRule="auto"/>
      </w:pPr>
      <w:r>
        <w:t xml:space="preserve">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can be found in the </w:t>
      </w:r>
      <w:r w:rsidRPr="000E46A5">
        <w:rPr>
          <w:color w:val="FF0000"/>
        </w:rPr>
        <w:t>Appendix</w:t>
      </w:r>
      <w:r>
        <w:t>.</w:t>
      </w:r>
    </w:p>
    <w:p w:rsidR="008211C6" w:rsidRDefault="008211C6" w:rsidP="008211C6">
      <w:pPr>
        <w:spacing w:line="360" w:lineRule="auto"/>
      </w:pPr>
    </w:p>
    <w:p w:rsidR="005417CA" w:rsidRDefault="005417CA" w:rsidP="008211C6">
      <w:pPr>
        <w:spacing w:line="360" w:lineRule="auto"/>
      </w:pPr>
    </w:p>
    <w:p w:rsidR="008211C6" w:rsidRPr="008211C6" w:rsidRDefault="008211C6" w:rsidP="008211C6">
      <w:pPr>
        <w:spacing w:line="360" w:lineRule="auto"/>
      </w:pPr>
    </w:p>
    <w:sectPr w:rsidR="008211C6" w:rsidRPr="008211C6" w:rsidSect="004E382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F51" w:rsidRDefault="00B04F51" w:rsidP="008211C6">
      <w:r>
        <w:separator/>
      </w:r>
    </w:p>
  </w:endnote>
  <w:endnote w:type="continuationSeparator" w:id="0">
    <w:p w:rsidR="00B04F51" w:rsidRDefault="00B04F51" w:rsidP="008211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F51" w:rsidRDefault="00B04F51" w:rsidP="008211C6">
      <w:r>
        <w:separator/>
      </w:r>
    </w:p>
  </w:footnote>
  <w:footnote w:type="continuationSeparator" w:id="0">
    <w:p w:rsidR="00B04F51" w:rsidRDefault="00B04F51" w:rsidP="008211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footnotePr>
    <w:footnote w:id="-1"/>
    <w:footnote w:id="0"/>
  </w:footnotePr>
  <w:endnotePr>
    <w:endnote w:id="-1"/>
    <w:endnote w:id="0"/>
  </w:endnotePr>
  <w:compat/>
  <w:rsids>
    <w:rsidRoot w:val="001411D1"/>
    <w:rsid w:val="000E46A5"/>
    <w:rsid w:val="001411D1"/>
    <w:rsid w:val="0017405D"/>
    <w:rsid w:val="001A072D"/>
    <w:rsid w:val="002131C2"/>
    <w:rsid w:val="004E382A"/>
    <w:rsid w:val="005417CA"/>
    <w:rsid w:val="007748F5"/>
    <w:rsid w:val="007C7A0F"/>
    <w:rsid w:val="008211C6"/>
    <w:rsid w:val="00990BA5"/>
    <w:rsid w:val="00A63B7C"/>
    <w:rsid w:val="00A90DD8"/>
    <w:rsid w:val="00AF00D8"/>
    <w:rsid w:val="00B04F51"/>
    <w:rsid w:val="00B87DD3"/>
    <w:rsid w:val="00C901AD"/>
    <w:rsid w:val="00D33214"/>
    <w:rsid w:val="00F27D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arc" idref="#_x0000_s1027"/>
        <o:r id="V:Rule5" type="arc" idref="#_x0000_s1028"/>
        <o:r id="V:Rule7" type="connector" idref="#_x0000_s1029"/>
        <o:r id="V:Rule9" type="connector" idref="#_x0000_s1030"/>
        <o:r id="V:Rule11" type="connector" idref="#_x0000_s1031"/>
        <o:r id="V:Rule12" type="connector" idref="#_x0000_s1032"/>
        <o:r id="V:Rule14" type="connector" idref="#_x0000_s1033"/>
        <o:r id="V:Rule16" type="connector" idref="#_x0000_s1039"/>
        <o:r id="V:Rule18" type="connector" idref="#_x0000_s1040"/>
        <o:r id="V:Rule20" type="connector" idref="#_x0000_s1041"/>
        <o:r id="V:Rule22" type="connector" idref="#_x0000_s1042"/>
        <o:r id="V:Rule24" type="connector" idref="#_x0000_s1043"/>
        <o:r id="V:Rule26" type="connector" idref="#_x0000_s1044"/>
        <o:r id="V:Rule35" type="arc" idref="#_x0000_s1061"/>
        <o:r id="V:Rule37" type="connector" idref="#_x0000_s1062"/>
        <o:r id="V:Rule39" type="connector" idref="#_x0000_s1064"/>
        <o:r id="V:Rule41" type="connector" idref="#_x0000_s1065"/>
        <o:r id="V:Rule43" type="arc" idref="#_x0000_s1066"/>
        <o:r id="V:Rule44"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11C6"/>
    <w:pPr>
      <w:tabs>
        <w:tab w:val="center" w:pos="4320"/>
        <w:tab w:val="right" w:pos="8640"/>
      </w:tabs>
    </w:pPr>
  </w:style>
  <w:style w:type="character" w:customStyle="1" w:styleId="HeaderChar">
    <w:name w:val="Header Char"/>
    <w:basedOn w:val="DefaultParagraphFont"/>
    <w:link w:val="Header"/>
    <w:uiPriority w:val="99"/>
    <w:semiHidden/>
    <w:rsid w:val="008211C6"/>
    <w:rPr>
      <w:lang w:bidi="ar-EG"/>
    </w:rPr>
  </w:style>
  <w:style w:type="paragraph" w:styleId="Footer">
    <w:name w:val="footer"/>
    <w:basedOn w:val="Normal"/>
    <w:link w:val="FooterChar"/>
    <w:uiPriority w:val="99"/>
    <w:semiHidden/>
    <w:unhideWhenUsed/>
    <w:rsid w:val="008211C6"/>
    <w:pPr>
      <w:tabs>
        <w:tab w:val="center" w:pos="4320"/>
        <w:tab w:val="right" w:pos="8640"/>
      </w:tabs>
    </w:pPr>
  </w:style>
  <w:style w:type="character" w:customStyle="1" w:styleId="FooterChar">
    <w:name w:val="Footer Char"/>
    <w:basedOn w:val="DefaultParagraphFont"/>
    <w:link w:val="Footer"/>
    <w:uiPriority w:val="99"/>
    <w:semiHidden/>
    <w:rsid w:val="008211C6"/>
    <w:rPr>
      <w:lang w:bidi="ar-EG"/>
    </w:rPr>
  </w:style>
  <w:style w:type="character" w:styleId="PlaceholderText">
    <w:name w:val="Placeholder Text"/>
    <w:basedOn w:val="DefaultParagraphFont"/>
    <w:uiPriority w:val="99"/>
    <w:semiHidden/>
    <w:rsid w:val="00990BA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2010-01-28T04:11:00Z</dcterms:created>
  <dcterms:modified xsi:type="dcterms:W3CDTF">2010-01-28T05:21:00Z</dcterms:modified>
</cp:coreProperties>
</file>