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42D" w:rsidRDefault="00E3747E" w:rsidP="00114077">
      <w:pPr>
        <w:autoSpaceDE w:val="0"/>
        <w:autoSpaceDN w:val="0"/>
        <w:adjustRightInd w:val="0"/>
        <w:spacing w:line="360" w:lineRule="auto"/>
        <w:ind w:firstLine="0"/>
        <w:rPr>
          <w:rFonts w:ascii="TimesNewRoman" w:hAnsi="TimesNewRoman" w:cs="TimesNewRoman"/>
          <w:sz w:val="23"/>
          <w:szCs w:val="23"/>
          <w:lang w:bidi="ar-SA"/>
        </w:rPr>
      </w:pPr>
      <w:r>
        <w:rPr>
          <w:rFonts w:ascii="TimesNewRoman" w:hAnsi="TimesNewRoman" w:cs="TimesNewRoman"/>
          <w:sz w:val="23"/>
          <w:szCs w:val="23"/>
          <w:lang w:bidi="ar-SA"/>
        </w:rPr>
        <w:tab/>
      </w:r>
      <w:r w:rsidR="00B2442D">
        <w:rPr>
          <w:rFonts w:ascii="TimesNewRoman" w:hAnsi="TimesNewRoman" w:cs="TimesNewRoman"/>
          <w:sz w:val="23"/>
          <w:szCs w:val="23"/>
          <w:lang w:bidi="ar-SA"/>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836AE8" w:rsidRPr="00836AE8" w:rsidRDefault="00B2442D" w:rsidP="00114077">
      <w:pPr>
        <w:autoSpaceDE w:val="0"/>
        <w:autoSpaceDN w:val="0"/>
        <w:adjustRightInd w:val="0"/>
        <w:spacing w:line="360" w:lineRule="auto"/>
        <w:ind w:firstLine="0"/>
        <w:rPr>
          <w:rFonts w:ascii="TimesNewRoman" w:hAnsi="TimesNewRoman" w:cs="TimesNewRoman"/>
          <w:b/>
          <w:bCs/>
          <w:sz w:val="23"/>
          <w:szCs w:val="23"/>
          <w:lang w:bidi="ar-SA"/>
        </w:rPr>
      </w:pPr>
      <w:r>
        <w:rPr>
          <w:rFonts w:ascii="TimesNewRoman" w:hAnsi="TimesNewRoman" w:cs="TimesNewRoman"/>
          <w:sz w:val="23"/>
          <w:szCs w:val="23"/>
          <w:lang w:bidi="ar-SA"/>
        </w:rPr>
        <w:tab/>
      </w:r>
      <w:r w:rsidR="00836AE8">
        <w:rPr>
          <w:rFonts w:ascii="TimesNewRoman" w:hAnsi="TimesNewRoman" w:cs="TimesNewRoman"/>
          <w:b/>
          <w:bCs/>
          <w:sz w:val="23"/>
          <w:szCs w:val="23"/>
          <w:lang w:bidi="ar-SA"/>
        </w:rPr>
        <w:t>Torque:</w:t>
      </w:r>
    </w:p>
    <w:p w:rsidR="00E3747E" w:rsidRDefault="00836AE8" w:rsidP="00114077">
      <w:pPr>
        <w:autoSpaceDE w:val="0"/>
        <w:autoSpaceDN w:val="0"/>
        <w:adjustRightInd w:val="0"/>
        <w:spacing w:line="360" w:lineRule="auto"/>
        <w:ind w:firstLine="0"/>
        <w:rPr>
          <w:rFonts w:ascii="TimesNewRoman" w:hAnsi="TimesNewRoman" w:cs="TimesNewRoman"/>
          <w:sz w:val="23"/>
          <w:szCs w:val="23"/>
          <w:lang w:bidi="ar-SA"/>
        </w:rPr>
      </w:pPr>
      <w:r>
        <w:rPr>
          <w:rFonts w:ascii="TimesNewRoman" w:hAnsi="TimesNewRoman" w:cs="TimesNewRoman"/>
          <w:sz w:val="23"/>
          <w:szCs w:val="23"/>
          <w:lang w:bidi="ar-SA"/>
        </w:rPr>
        <w:tab/>
      </w:r>
      <w:r w:rsidR="00B2442D">
        <w:rPr>
          <w:rFonts w:ascii="TimesNewRoman" w:hAnsi="TimesNewRoman" w:cs="TimesNewRoman"/>
          <w:sz w:val="23"/>
          <w:szCs w:val="23"/>
          <w:lang w:bidi="ar-SA"/>
        </w:rPr>
        <w:t xml:space="preserve">According to last year’s group, the torque the motor needed to supply was 7.5 Nm: </w:t>
      </w:r>
      <w:r w:rsidR="00E3747E">
        <w:rPr>
          <w:rFonts w:ascii="TimesNewRoman" w:hAnsi="TimesNewRoman" w:cs="TimesNewRoman"/>
          <w:sz w:val="23"/>
          <w:szCs w:val="23"/>
          <w:lang w:bidi="ar-SA"/>
        </w:rPr>
        <w:t>“After researching various motor and motor controller combinations, the Maxon EC-Max 25W Brushless DC motor (Figure 47) matched with a 66:1 gearbox was selected. It was selected because it provided sufficient nominal torque, acceleration, and maximum velocity for the experimentally derived expected moment of 7.5 Nm (50 N force at 15cm) discussed in Section 3.”</w:t>
      </w:r>
      <w:r w:rsidR="00B2442D">
        <w:rPr>
          <w:rFonts w:ascii="TimesNewRoman" w:hAnsi="TimesNewRoman" w:cs="TimesNewRoman"/>
          <w:sz w:val="23"/>
          <w:szCs w:val="23"/>
          <w:lang w:bidi="ar-SA"/>
        </w:rPr>
        <w:t xml:space="preserve"> We preformed our own analysis on the newer linkage design and came up with a </w:t>
      </w:r>
      <w:r>
        <w:rPr>
          <w:rFonts w:ascii="TimesNewRoman" w:hAnsi="TimesNewRoman" w:cs="TimesNewRoman"/>
          <w:sz w:val="23"/>
          <w:szCs w:val="23"/>
          <w:lang w:bidi="ar-SA"/>
        </w:rPr>
        <w:t>substantially smaller value of around 1</w:t>
      </w:r>
      <w:r w:rsidR="00B2442D">
        <w:rPr>
          <w:rFonts w:ascii="TimesNewRoman" w:hAnsi="TimesNewRoman" w:cs="TimesNewRoman"/>
          <w:sz w:val="23"/>
          <w:szCs w:val="23"/>
          <w:lang w:bidi="ar-SA"/>
        </w:rPr>
        <w:t xml:space="preserve"> Nm. </w:t>
      </w:r>
      <w:r>
        <w:rPr>
          <w:rFonts w:ascii="TimesNewRoman" w:hAnsi="TimesNewRoman" w:cs="TimesNewRoman"/>
          <w:sz w:val="23"/>
          <w:szCs w:val="23"/>
          <w:lang w:bidi="ar-SA"/>
        </w:rPr>
        <w:t xml:space="preserve">This result if most likely due to the fact that the newer linkage design reduces the amount of force needed to be applied at the hard constraint, due to the action of friction on the vertical rod and the partial load-carrying of the rod and linkages. </w:t>
      </w:r>
      <w:r w:rsidR="00B2442D">
        <w:rPr>
          <w:rFonts w:ascii="TimesNewRoman" w:hAnsi="TimesNewRoman" w:cs="TimesNewRoman"/>
          <w:sz w:val="23"/>
          <w:szCs w:val="23"/>
          <w:lang w:bidi="ar-SA"/>
        </w:rPr>
        <w:t>The analysis was preformed with the following linkage design:</w:t>
      </w:r>
    </w:p>
    <w:p w:rsidR="00B2442D" w:rsidRDefault="00B2442D" w:rsidP="00114077">
      <w:pPr>
        <w:autoSpaceDE w:val="0"/>
        <w:autoSpaceDN w:val="0"/>
        <w:adjustRightInd w:val="0"/>
        <w:spacing w:line="360" w:lineRule="auto"/>
        <w:ind w:firstLine="0"/>
        <w:rPr>
          <w:rFonts w:ascii="TimesNewRoman" w:hAnsi="TimesNewRoman" w:cs="TimesNewRoman"/>
          <w:sz w:val="23"/>
          <w:szCs w:val="23"/>
          <w:lang w:bidi="ar-SA"/>
        </w:rPr>
      </w:pPr>
    </w:p>
    <w:p w:rsidR="00B2442D" w:rsidRPr="00E3747E" w:rsidRDefault="006A1773" w:rsidP="00114077">
      <w:pPr>
        <w:autoSpaceDE w:val="0"/>
        <w:autoSpaceDN w:val="0"/>
        <w:adjustRightInd w:val="0"/>
        <w:spacing w:line="360" w:lineRule="auto"/>
        <w:ind w:firstLine="0"/>
        <w:rPr>
          <w:rFonts w:ascii="TimesNewRoman" w:hAnsi="TimesNewRoman" w:cs="TimesNewRoman"/>
          <w:sz w:val="23"/>
          <w:szCs w:val="23"/>
          <w:lang w:bidi="ar-SA"/>
        </w:rPr>
      </w:pPr>
      <w:r>
        <w:rPr>
          <w:rFonts w:ascii="TimesNewRoman" w:hAnsi="TimesNewRoman" w:cs="TimesNewRoman"/>
          <w:noProof/>
          <w:sz w:val="23"/>
          <w:szCs w:val="23"/>
          <w:lang w:bidi="ar-SA"/>
        </w:rPr>
        <w:pict>
          <v:group id="_x0000_s1027" style="position:absolute;margin-left:76.25pt;margin-top:10.4pt;width:292.05pt;height:202.75pt;z-index:251658240" coordorigin="3605,2233" coordsize="5841,4055">
            <v:shapetype id="_x0000_t202" coordsize="21600,21600" o:spt="202" path="m,l,21600r21600,l21600,xe">
              <v:stroke joinstyle="miter"/>
              <v:path gradientshapeok="t" o:connecttype="rect"/>
            </v:shapetype>
            <v:shape id="_x0000_s1028" type="#_x0000_t202" style="position:absolute;left:4509;top:2497;width:502;height:413;mso-height-percent:200;mso-height-percent:200;mso-width-relative:margin;mso-height-relative:margin" stroked="f">
              <v:textbox style="mso-next-textbox:#_x0000_s1028;mso-fit-shape-to-text:t">
                <w:txbxContent>
                  <w:p w:rsidR="00B2442D" w:rsidRDefault="00B2442D" w:rsidP="00B2442D">
                    <w:pPr>
                      <w:ind w:firstLine="0"/>
                    </w:pPr>
                    <w:r>
                      <w:t>L2</w:t>
                    </w:r>
                  </w:p>
                </w:txbxContent>
              </v:textbox>
            </v:shape>
            <v:group id="_x0000_s1029" style="position:absolute;left:3605;top:2233;width:5841;height:4055" coordorigin="2572,2910" coordsize="5841,4055">
              <v:group id="_x0000_s1030" style="position:absolute;left:2757;top:5078;width:2021;height:1887" coordorigin="4056,4335" coordsize="2021,1887">
                <v:shape id="_x0000_s1031" type="#_x0000_t202" style="position:absolute;left:5310;top:4593;width:767;height:413;mso-height-percent:200;mso-height-percent:200;mso-width-relative:margin;mso-height-relative:margin" stroked="f">
                  <v:textbox style="mso-next-textbox:#_x0000_s1031;mso-fit-shape-to-text:t">
                    <w:txbxContent>
                      <w:p w:rsidR="00B2442D" w:rsidRDefault="00B2442D" w:rsidP="00B2442D">
                        <w:pPr>
                          <w:ind w:firstLine="0"/>
                        </w:pPr>
                        <w:r>
                          <w:t>Load</w:t>
                        </w:r>
                      </w:p>
                    </w:txbxContent>
                  </v:textbox>
                </v:shape>
                <v:shapetype id="_x0000_t32" coordsize="21600,21600" o:spt="32" o:oned="t" path="m,l21600,21600e" filled="f">
                  <v:path arrowok="t" fillok="f" o:connecttype="none"/>
                  <o:lock v:ext="edit" shapetype="t"/>
                </v:shapetype>
                <v:shape id="_x0000_s1032" type="#_x0000_t32" style="position:absolute;left:4056;top:4335;width:2021;height:1887" o:connectortype="straight">
                  <v:stroke startarrow="block" endarrow="block"/>
                </v:shape>
              </v:group>
              <v:group id="_x0000_s1033" style="position:absolute;left:2572;top:2910;width:5841;height:4055" coordorigin="2572,2910" coordsize="5841,4055">
                <v:shape id="_x0000_s1034" type="#_x0000_t202" style="position:absolute;left:3487;top:6305;width:524;height:520;mso-width-relative:margin;mso-height-relative:margin" stroked="f">
                  <v:textbox style="mso-next-textbox:#_x0000_s1034">
                    <w:txbxContent>
                      <w:p w:rsidR="00B2442D" w:rsidRPr="00FF1E51" w:rsidRDefault="00B2442D" w:rsidP="00B2442D">
                        <w:pPr>
                          <w:ind w:firstLine="0"/>
                          <w:rPr>
                            <w:vertAlign w:val="subscript"/>
                          </w:rPr>
                        </w:pPr>
                        <w:r>
                          <w:t>Θ</w:t>
                        </w:r>
                        <w:r>
                          <w:rPr>
                            <w:vertAlign w:val="subscript"/>
                          </w:rPr>
                          <w:t>1</w:t>
                        </w:r>
                      </w:p>
                    </w:txbxContent>
                  </v:textbox>
                </v:shape>
                <v:shape id="_x0000_s1035" type="#_x0000_t202" style="position:absolute;left:3689;top:4469;width:524;height:520;mso-width-relative:margin;mso-height-relative:margin" stroked="f">
                  <v:textbox style="mso-next-textbox:#_x0000_s1035">
                    <w:txbxContent>
                      <w:p w:rsidR="00B2442D" w:rsidRPr="00FF1E51" w:rsidRDefault="00B2442D" w:rsidP="00B2442D">
                        <w:pPr>
                          <w:ind w:firstLine="0"/>
                          <w:rPr>
                            <w:vertAlign w:val="subscript"/>
                          </w:rPr>
                        </w:pPr>
                        <w:r>
                          <w:t>Θ</w:t>
                        </w:r>
                        <w:r>
                          <w:rPr>
                            <w:vertAlign w:val="subscript"/>
                          </w:rPr>
                          <w:t>2</w:t>
                        </w:r>
                      </w:p>
                    </w:txbxContent>
                  </v:textbox>
                </v:shape>
                <v:roundrect id="_x0000_s1036" style="position:absolute;left:2572;top:5749;width:2973;height:278;rotation:2861222fd" arcsize="10923f" fillcolor="#f2f2f2 [3052]"/>
                <v:roundrect id="_x0000_s1037" style="position:absolute;left:2572;top:3834;width:2787;height:343;rotation:-2570297fd" arcsize="10923f" fillcolor="#f2f2f2 [3052]"/>
                <v:roundrect id="_x0000_s1038" style="position:absolute;left:4980;top:3240;width:143;height:3725" arcsize="10923f" fillcolor="#bfbfbf [2412]"/>
                <v:shape id="_x0000_s1039" type="#_x0000_t32" style="position:absolute;left:3275;top:4865;width:1255;height:0" o:connectortype="straight"/>
                <v:shape id="_x0000_s1040" type="#_x0000_t32" style="position:absolute;left:3553;top:6965;width:1044;height:0;flip:x" o:connectortype="straight"/>
                <v:roundrect id="_x0000_s1041" style="position:absolute;left:4926;top:3067;width:2404;height:143" arcsize="10923f" fillcolor="#f2f2f2 [3052]"/>
                <v:roundrect id="_x0000_s1042" style="position:absolute;left:7187;top:3067;width:143;height:1110" arcsize="10923f" fillcolor="#f2f2f2 [3052]"/>
                <v:shape id="_x0000_s1043" type="#_x0000_t32" style="position:absolute;left:7330;top:4177;width:0;height:556" o:connectortype="straight">
                  <v:stroke endarrow="block"/>
                </v:shape>
                <v:shape id="_x0000_s1044" type="#_x0000_t202" style="position:absolute;left:7474;top:4469;width:939;height:413;mso-height-percent:200;mso-height-percent:200;mso-width-relative:margin;mso-height-relative:margin" stroked="f">
                  <v:textbox style="mso-next-textbox:#_x0000_s1044;mso-fit-shape-to-text:t">
                    <w:txbxContent>
                      <w:p w:rsidR="00B2442D" w:rsidRDefault="00B2442D" w:rsidP="00B2442D">
                        <w:pPr>
                          <w:ind w:firstLine="0"/>
                        </w:pPr>
                        <w:r>
                          <w:t>Load</w:t>
                        </w:r>
                      </w:p>
                    </w:txbxContent>
                  </v:textbox>
                </v:shape>
                <v:shape id="_x0000_s1045" type="#_x0000_t32" style="position:absolute;left:2734;top:2910;width:2021;height:1664;flip:y" o:connectortype="straight">
                  <v:stroke startarrow="block" endarrow="block"/>
                </v:shape>
                <v:shape id="_x0000_s1046" type="#_x0000_t202" style="position:absolute;left:2954;top:5749;width:502;height:413;mso-height-percent:200;mso-height-percent:200;mso-width-relative:margin;mso-height-relative:margin" stroked="f">
                  <v:textbox style="mso-next-textbox:#_x0000_s1046;mso-fit-shape-to-text:t">
                    <w:txbxContent>
                      <w:p w:rsidR="00B2442D" w:rsidRDefault="00B2442D" w:rsidP="00B2442D">
                        <w:pPr>
                          <w:ind w:firstLine="0"/>
                        </w:pPr>
                        <w:r>
                          <w:t>L1</w:t>
                        </w:r>
                      </w:p>
                    </w:txbxContent>
                  </v:textbox>
                </v:shape>
                <v:shape id="_x0000_s1047" type="#_x0000_t32" style="position:absolute;left:4530;top:5749;width:0;height:556;flip:y" o:connectortype="straight">
                  <v:stroke endarrow="block"/>
                </v:shape>
                <v:shape id="_x0000_s1048" type="#_x0000_t32" style="position:absolute;left:4530;top:6093;width:304;height:212;flip:y" o:connectortype="straight"/>
                <v:shape id="_x0000_s1049" type="#_x0000_t32" style="position:absolute;left:4597;top:5885;width:237;height:208" o:connectortype="straight"/>
              </v:group>
            </v:group>
          </v:group>
        </w:pict>
      </w:r>
    </w:p>
    <w:p w:rsid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Pr="00B2442D" w:rsidRDefault="00B2442D" w:rsidP="00114077">
      <w:pPr>
        <w:spacing w:line="360" w:lineRule="auto"/>
      </w:pPr>
    </w:p>
    <w:p w:rsidR="00B2442D" w:rsidRDefault="00B2442D" w:rsidP="00114077">
      <w:pPr>
        <w:spacing w:line="360" w:lineRule="auto"/>
      </w:pPr>
    </w:p>
    <w:p w:rsidR="00836AE8" w:rsidRDefault="00B2442D" w:rsidP="00114077">
      <w:pPr>
        <w:spacing w:line="360" w:lineRule="auto"/>
      </w:pPr>
      <w:r>
        <w:lastRenderedPageBreak/>
        <w:t xml:space="preserve">A spreadsheet was made to compute the value of the hard-constraint force that is need at Link 1 (L1) with varying θs. </w:t>
      </w:r>
      <w:r w:rsidR="00836AE8">
        <w:t>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836AE8" w:rsidRDefault="00836AE8" w:rsidP="00114077">
      <w:pPr>
        <w:spacing w:line="360" w:lineRule="auto"/>
      </w:pPr>
    </w:p>
    <w:p w:rsidR="001841BA" w:rsidRDefault="005172AA" w:rsidP="00114077">
      <w:pPr>
        <w:spacing w:line="360" w:lineRule="auto"/>
        <w:ind w:firstLine="0"/>
        <w:jc w:val="center"/>
        <w:rPr>
          <w:sz w:val="16"/>
          <w:szCs w:val="16"/>
        </w:rPr>
      </w:pPr>
      <w:r w:rsidRPr="005172AA">
        <w:rPr>
          <w:noProof/>
          <w:lang w:bidi="ar-SA"/>
        </w:rPr>
        <w:drawing>
          <wp:inline distT="0" distB="0" distL="0" distR="0">
            <wp:extent cx="4819650" cy="32385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C7470" w:rsidRPr="00BC7470" w:rsidRDefault="00BC7470" w:rsidP="00114077">
      <w:pPr>
        <w:spacing w:line="360" w:lineRule="auto"/>
        <w:ind w:firstLine="0"/>
        <w:rPr>
          <w:sz w:val="16"/>
          <w:szCs w:val="16"/>
        </w:rPr>
      </w:pPr>
      <w:r w:rsidRPr="00BC7470">
        <w:rPr>
          <w:sz w:val="16"/>
          <w:szCs w:val="16"/>
        </w:rPr>
        <w:t>*</w:t>
      </w:r>
      <w:r w:rsidRPr="00BC7470">
        <w:rPr>
          <w:b/>
          <w:bCs/>
          <w:i/>
          <w:iCs/>
          <w:sz w:val="16"/>
          <w:szCs w:val="16"/>
          <w:lang w:val="el-GR"/>
        </w:rPr>
        <w:t>θ</w:t>
      </w:r>
      <w:r w:rsidRPr="00BC7470">
        <w:rPr>
          <w:b/>
          <w:bCs/>
          <w:i/>
          <w:iCs/>
          <w:sz w:val="16"/>
          <w:szCs w:val="16"/>
          <w:vertAlign w:val="subscript"/>
        </w:rPr>
        <w:t xml:space="preserve">1 </w:t>
      </w:r>
      <w:r w:rsidRPr="00BC7470">
        <w:rPr>
          <w:b/>
          <w:bCs/>
          <w:i/>
          <w:iCs/>
          <w:sz w:val="16"/>
          <w:szCs w:val="16"/>
        </w:rPr>
        <w:t>(deg) is does not go below 48 degrees due to the different link lengths</w:t>
      </w:r>
    </w:p>
    <w:p w:rsidR="00BC7470" w:rsidRDefault="00BC7470" w:rsidP="00114077">
      <w:pPr>
        <w:spacing w:line="360" w:lineRule="auto"/>
      </w:pPr>
    </w:p>
    <w:p w:rsidR="00BC7470" w:rsidRDefault="00BC7470" w:rsidP="00114077">
      <w:pPr>
        <w:spacing w:line="360" w:lineRule="auto"/>
      </w:pPr>
      <w:r>
        <w:t xml:space="preserve">With the same load and moment values, but equal link length of </w:t>
      </w:r>
      <w:r w:rsidR="004E2F2D">
        <w:t>7</w:t>
      </w:r>
      <w:r>
        <w:t xml:space="preserve"> cm, the following curve is obtained (with a max torque of 1.5 Nm)</w:t>
      </w:r>
      <w:r w:rsidR="004E2F2D">
        <w:t xml:space="preserve">. Since the analysis of an optimized size for the workspace has yielded a result of equal linkage length of 7 cm, the maximum torque the motor must be able to counter is confirmed to be 1.5 Nm. The spreadsheet with all the values of thetas, distances and forces can be found in </w:t>
      </w:r>
      <w:r w:rsidR="004E2F2D" w:rsidRPr="004E2F2D">
        <w:rPr>
          <w:color w:val="FF0000"/>
        </w:rPr>
        <w:t>Appendix</w:t>
      </w:r>
      <w:r w:rsidR="004E2F2D">
        <w:t>.</w:t>
      </w:r>
    </w:p>
    <w:p w:rsidR="00836AE8" w:rsidRDefault="004E2F2D" w:rsidP="00114077">
      <w:pPr>
        <w:spacing w:line="360" w:lineRule="auto"/>
        <w:ind w:firstLine="0"/>
        <w:jc w:val="center"/>
        <w:rPr>
          <w:b/>
          <w:bCs/>
        </w:rPr>
      </w:pPr>
      <w:r w:rsidRPr="004E2F2D">
        <w:rPr>
          <w:b/>
          <w:bCs/>
          <w:noProof/>
          <w:lang w:bidi="ar-SA"/>
        </w:rPr>
        <w:lastRenderedPageBreak/>
        <w:drawing>
          <wp:inline distT="0" distB="0" distL="0" distR="0">
            <wp:extent cx="5022734" cy="3414319"/>
            <wp:effectExtent l="19050" t="0" r="25516" b="0"/>
            <wp:docPr id="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00BA9" w:rsidRDefault="00000BA9" w:rsidP="00114077">
      <w:pPr>
        <w:spacing w:line="360" w:lineRule="auto"/>
        <w:ind w:firstLine="0"/>
        <w:jc w:val="center"/>
        <w:rPr>
          <w:b/>
          <w:bCs/>
        </w:rPr>
      </w:pPr>
    </w:p>
    <w:p w:rsidR="00000BA9" w:rsidRDefault="00000BA9" w:rsidP="00114077">
      <w:pPr>
        <w:spacing w:line="360" w:lineRule="auto"/>
        <w:ind w:firstLine="709"/>
        <w:rPr>
          <w:b/>
          <w:bCs/>
        </w:rPr>
      </w:pPr>
      <w:r>
        <w:rPr>
          <w:b/>
          <w:bCs/>
        </w:rPr>
        <w:t>Speed:</w:t>
      </w:r>
    </w:p>
    <w:p w:rsidR="00000BA9" w:rsidRDefault="00000BA9" w:rsidP="00114077">
      <w:pPr>
        <w:spacing w:line="360" w:lineRule="auto"/>
      </w:pPr>
      <w:r>
        <w:t xml:space="preserve">An excel spreadsheet was made for the analysis of the change in link angles for movements of 0.5mm (up or down) of the tool attached to link 5.  The link design figure used for the torque vs. theta relationship also illustrates the different links and how they move relative to the load. When the load moves up or down at an increment of 0.5mm, the angle </w:t>
      </w:r>
      <w:r>
        <w:sym w:font="Symbol" w:char="F071"/>
      </w:r>
      <w:r>
        <w:t xml:space="preserve"> changes. However, depending on the initial and final position of the load (and thus the length of the vertical link, shown in dark grey), the angle </w:t>
      </w:r>
      <w:r>
        <w:sym w:font="Symbol" w:char="F071"/>
      </w:r>
      <w:r>
        <w:t xml:space="preserve"> changes by different increments.</w:t>
      </w:r>
    </w:p>
    <w:p w:rsidR="00000BA9" w:rsidRDefault="00000BA9" w:rsidP="00114077">
      <w:pPr>
        <w:spacing w:line="360" w:lineRule="auto"/>
      </w:pPr>
      <w:r>
        <w:t>∆</w:t>
      </w:r>
      <w:r>
        <w:sym w:font="Symbol" w:char="F071"/>
      </w:r>
      <w:r>
        <w:t xml:space="preserve"> sees </w:t>
      </w:r>
      <w:proofErr w:type="gramStart"/>
      <w:r>
        <w:t>it’s</w:t>
      </w:r>
      <w:proofErr w:type="gramEnd"/>
      <w:r>
        <w:t xml:space="preserve"> largest value when the load is moving between it’s highest and second highest points (essentially near 14cm relative height); this corresponds to a 2˚ ∆</w:t>
      </w:r>
      <w:r>
        <w:sym w:font="Symbol" w:char="F071"/>
      </w:r>
      <w:r>
        <w:t xml:space="preserve">. The in-depth calculations can be seen in the excel spreadsheet in the </w:t>
      </w:r>
      <w:r>
        <w:rPr>
          <w:color w:val="FF0000"/>
        </w:rPr>
        <w:t xml:space="preserve">Appendix </w:t>
      </w:r>
      <w:r>
        <w:t xml:space="preserve">attached to this report. Two methods were used: </w:t>
      </w:r>
    </w:p>
    <w:p w:rsidR="00000BA9" w:rsidRDefault="00000BA9" w:rsidP="00114077">
      <w:pPr>
        <w:spacing w:line="360" w:lineRule="auto"/>
      </w:pPr>
    </w:p>
    <w:p w:rsidR="00000BA9" w:rsidRDefault="00000BA9" w:rsidP="00114077">
      <w:pPr>
        <w:pStyle w:val="ListParagraph"/>
        <w:numPr>
          <w:ilvl w:val="0"/>
          <w:numId w:val="2"/>
        </w:numPr>
        <w:spacing w:line="360" w:lineRule="auto"/>
      </w:pPr>
      <w:r>
        <w:t>A manual change in increments and then evaluation of the corresponding ∆</w:t>
      </w:r>
      <w:r>
        <w:sym w:font="Symbol" w:char="F071"/>
      </w:r>
      <w:r>
        <w:t xml:space="preserve"> values.</w:t>
      </w:r>
    </w:p>
    <w:p w:rsidR="00000BA9" w:rsidRDefault="00000BA9" w:rsidP="00114077">
      <w:pPr>
        <w:pStyle w:val="ListParagraph"/>
        <w:numPr>
          <w:ilvl w:val="0"/>
          <w:numId w:val="2"/>
        </w:numPr>
        <w:spacing w:line="360" w:lineRule="auto"/>
      </w:pPr>
      <w:r>
        <w:t xml:space="preserve">Using </w:t>
      </w:r>
      <w:r>
        <w:rPr>
          <w:i/>
          <w:iCs/>
        </w:rPr>
        <w:t xml:space="preserve">Excel’s </w:t>
      </w:r>
      <w:r>
        <w:t>built-in solver to maximize the ∆</w:t>
      </w:r>
      <w:r>
        <w:sym w:font="Symbol" w:char="F071"/>
      </w:r>
      <w:r>
        <w:t xml:space="preserve"> cell value by changing the height cell value. This quickly and automatically finds the largest ∆</w:t>
      </w:r>
      <w:r>
        <w:sym w:font="Symbol" w:char="F071"/>
      </w:r>
      <w:r>
        <w:t xml:space="preserve"> for the setup.</w:t>
      </w:r>
    </w:p>
    <w:p w:rsidR="00000BA9" w:rsidRDefault="00000BA9" w:rsidP="00114077">
      <w:pPr>
        <w:pStyle w:val="ListParagraph"/>
        <w:spacing w:line="360" w:lineRule="auto"/>
        <w:ind w:left="1440" w:firstLine="0"/>
      </w:pPr>
    </w:p>
    <w:p w:rsidR="00000BA9" w:rsidRDefault="00000BA9" w:rsidP="00114077">
      <w:pPr>
        <w:pStyle w:val="ListParagraph"/>
        <w:spacing w:line="360" w:lineRule="auto"/>
        <w:ind w:left="0" w:firstLine="709"/>
      </w:pPr>
      <w:r>
        <w:lastRenderedPageBreak/>
        <w:t>Working based upon the largest ∆</w:t>
      </w:r>
      <w:r>
        <w:sym w:font="Symbol" w:char="F071"/>
      </w:r>
      <w:r>
        <w:t xml:space="preserve"> value, 2</w:t>
      </w:r>
      <w:r>
        <w:rPr>
          <w:vertAlign w:val="superscript"/>
        </w:rPr>
        <w:t>o</w:t>
      </w:r>
      <w:r>
        <w:t xml:space="preserve">, work backwards to find the minimum required speed of the hard-constraint movement. Approximating the surgeon’s motion at a speed of 10cm/s, the angle </w:t>
      </w:r>
      <w:r>
        <w:sym w:font="Symbol" w:char="F071"/>
      </w:r>
      <w:r>
        <w:t xml:space="preserve"> will change at approximately 40˚/s. This translates to a minimum of 6.67 rpm for the hard-constraint motion. Adding a sufficient safety factor to ensure the correct performance of the motor, we thus found the minimum speed of the hard constraint to be 30 rpm. </w:t>
      </w:r>
    </w:p>
    <w:p w:rsidR="00000BA9" w:rsidRDefault="00243A3C" w:rsidP="00243A3C">
      <w:pPr>
        <w:spacing w:line="360" w:lineRule="auto"/>
      </w:pPr>
      <w:r>
        <w:t>Knowing the torque and speed required of the motor, we can compute the power rating of the motor. Compared to the design used by last year’s group, the new linkage design has the overall advantage of requiring a lower torque and comparable speeds – thus, the power rating of the motor we need will be less. Last year used a pricey 25 Watt Maxon EC Max precision Motor in set with a 66:1 planetary gear head and a basic optical encoder. Since our desired power rating is considerably less than 25 Watts, and since the motor already present is functional, we choose to re-use the same motor as last year. We have proved, through calculations, our required torque and speed, and the current motor we have meets our functional requirements.</w:t>
      </w:r>
    </w:p>
    <w:p w:rsidR="00243A3C" w:rsidRDefault="00243A3C" w:rsidP="00243A3C">
      <w:pPr>
        <w:spacing w:line="360" w:lineRule="auto"/>
        <w:jc w:val="center"/>
      </w:pPr>
      <w:r>
        <w:rPr>
          <w:noProof/>
          <w:lang w:bidi="ar-SA"/>
        </w:rPr>
        <w:drawing>
          <wp:inline distT="0" distB="0" distL="0" distR="0">
            <wp:extent cx="2718033" cy="1872423"/>
            <wp:effectExtent l="19050" t="0" r="6117" b="0"/>
            <wp:docPr id="3"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cstate="print"/>
                    <a:stretch>
                      <a:fillRect/>
                    </a:stretch>
                  </pic:blipFill>
                  <pic:spPr>
                    <a:xfrm>
                      <a:off x="0" y="0"/>
                      <a:ext cx="2721183" cy="1874593"/>
                    </a:xfrm>
                    <a:prstGeom prst="rect">
                      <a:avLst/>
                    </a:prstGeom>
                  </pic:spPr>
                </pic:pic>
              </a:graphicData>
            </a:graphic>
          </wp:inline>
        </w:drawing>
      </w:r>
    </w:p>
    <w:p w:rsidR="00243A3C" w:rsidRDefault="00243A3C" w:rsidP="00243A3C">
      <w:pPr>
        <w:spacing w:line="360" w:lineRule="auto"/>
        <w:ind w:firstLine="0"/>
        <w:jc w:val="center"/>
      </w:pPr>
    </w:p>
    <w:p w:rsidR="00000BA9" w:rsidRPr="00000BA9" w:rsidRDefault="00000BA9" w:rsidP="00114077">
      <w:pPr>
        <w:spacing w:line="360" w:lineRule="auto"/>
        <w:ind w:firstLine="709"/>
      </w:pPr>
    </w:p>
    <w:sectPr w:rsidR="00000BA9" w:rsidRPr="00000BA9" w:rsidSect="00DF5691">
      <w:pgSz w:w="12240" w:h="15840"/>
      <w:pgMar w:top="1440" w:right="1800" w:bottom="1440" w:left="180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E0577"/>
    <w:multiLevelType w:val="hybridMultilevel"/>
    <w:tmpl w:val="628AE084"/>
    <w:lvl w:ilvl="0" w:tplc="6F10189C">
      <w:start w:val="90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E10EA5"/>
    <w:multiLevelType w:val="hybridMultilevel"/>
    <w:tmpl w:val="FBB62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E3747E"/>
    <w:rsid w:val="00000BA9"/>
    <w:rsid w:val="000876F7"/>
    <w:rsid w:val="0011311D"/>
    <w:rsid w:val="00114077"/>
    <w:rsid w:val="001841BA"/>
    <w:rsid w:val="001A072D"/>
    <w:rsid w:val="00243A3C"/>
    <w:rsid w:val="00257B25"/>
    <w:rsid w:val="002D11A1"/>
    <w:rsid w:val="004E2F2D"/>
    <w:rsid w:val="004E382A"/>
    <w:rsid w:val="005172AA"/>
    <w:rsid w:val="006A1773"/>
    <w:rsid w:val="007C7A0F"/>
    <w:rsid w:val="00836AE8"/>
    <w:rsid w:val="00A63B7C"/>
    <w:rsid w:val="00AE20C3"/>
    <w:rsid w:val="00B2442D"/>
    <w:rsid w:val="00BB08E8"/>
    <w:rsid w:val="00BC7470"/>
    <w:rsid w:val="00C56D63"/>
    <w:rsid w:val="00E3747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43"/>
        <o:r id="V:Rule10" type="connector" idref="#_x0000_s1040"/>
        <o:r id="V:Rule11" type="connector" idref="#_x0000_s1047"/>
        <o:r id="V:Rule12" type="connector" idref="#_x0000_s1048"/>
        <o:r id="V:Rule13" type="connector" idref="#_x0000_s1049"/>
        <o:r id="V:Rule14" type="connector" idref="#_x0000_s1039"/>
        <o:r id="V:Rule15" type="connector" idref="#_x0000_s1045"/>
        <o:r id="V:Rule1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470"/>
    <w:pPr>
      <w:spacing w:before="100" w:beforeAutospacing="1" w:after="100" w:afterAutospacing="1"/>
      <w:ind w:firstLine="0"/>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C7470"/>
    <w:pPr>
      <w:ind w:left="720"/>
      <w:contextualSpacing/>
    </w:pPr>
  </w:style>
  <w:style w:type="character" w:styleId="Hyperlink">
    <w:name w:val="Hyperlink"/>
    <w:basedOn w:val="DefaultParagraphFont"/>
    <w:uiPriority w:val="99"/>
    <w:unhideWhenUsed/>
    <w:rsid w:val="000876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206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Torque vs Theta</a:t>
            </a:r>
          </a:p>
        </c:rich>
      </c:tx>
      <c:overlay val="1"/>
    </c:title>
    <c:plotArea>
      <c:layout>
        <c:manualLayout>
          <c:layoutTarget val="inner"/>
          <c:xMode val="edge"/>
          <c:yMode val="edge"/>
          <c:x val="0.17563972487628771"/>
          <c:y val="0.11948340280994288"/>
          <c:w val="0.71157545931758648"/>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15.999999999999998</c:v>
                </c:pt>
                <c:pt idx="75">
                  <c:v>14.999999999999995</c:v>
                </c:pt>
                <c:pt idx="76">
                  <c:v>14.000000000000002</c:v>
                </c:pt>
                <c:pt idx="77">
                  <c:v>13.00000000000002</c:v>
                </c:pt>
                <c:pt idx="78">
                  <c:v>11.999999999999988</c:v>
                </c:pt>
                <c:pt idx="79">
                  <c:v>11.000000000000002</c:v>
                </c:pt>
                <c:pt idx="80">
                  <c:v>10.000000000000052</c:v>
                </c:pt>
                <c:pt idx="81">
                  <c:v>8.9999999999999485</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9.0140297569902029E-17</c:v>
                </c:pt>
                <c:pt idx="1">
                  <c:v>2.5681216072462543E-2</c:v>
                </c:pt>
                <c:pt idx="2">
                  <c:v>5.1354609397730386E-2</c:v>
                </c:pt>
                <c:pt idx="3">
                  <c:v>7.7012359611492054E-2</c:v>
                </c:pt>
                <c:pt idx="4">
                  <c:v>0.10264665111448062</c:v>
                </c:pt>
                <c:pt idx="5">
                  <c:v>0.12824967545317961</c:v>
                </c:pt>
                <c:pt idx="6">
                  <c:v>0.15381363369835221</c:v>
                </c:pt>
                <c:pt idx="7">
                  <c:v>0.17933073882067468</c:v>
                </c:pt>
                <c:pt idx="8">
                  <c:v>0.20479321806273684</c:v>
                </c:pt>
                <c:pt idx="9">
                  <c:v>0.23019331530669984</c:v>
                </c:pt>
                <c:pt idx="10">
                  <c:v>0.25552329343688812</c:v>
                </c:pt>
                <c:pt idx="11">
                  <c:v>0.28077543669658556</c:v>
                </c:pt>
                <c:pt idx="12">
                  <c:v>0.30594205303833244</c:v>
                </c:pt>
                <c:pt idx="13">
                  <c:v>0.3310154764669973</c:v>
                </c:pt>
                <c:pt idx="14">
                  <c:v>0.35598806937491217</c:v>
                </c:pt>
                <c:pt idx="15">
                  <c:v>0.38085222486835962</c:v>
                </c:pt>
                <c:pt idx="16">
                  <c:v>0.40560036908471464</c:v>
                </c:pt>
                <c:pt idx="17">
                  <c:v>0.4302249634995079</c:v>
                </c:pt>
                <c:pt idx="18">
                  <c:v>0.45471850722273532</c:v>
                </c:pt>
                <c:pt idx="19">
                  <c:v>0.47907353928370638</c:v>
                </c:pt>
                <c:pt idx="20">
                  <c:v>0.50328264090372121</c:v>
                </c:pt>
                <c:pt idx="21">
                  <c:v>0.52733843775590916</c:v>
                </c:pt>
                <c:pt idx="22">
                  <c:v>0.55123360221151463</c:v>
                </c:pt>
                <c:pt idx="23">
                  <c:v>0.57496085557196652</c:v>
                </c:pt>
                <c:pt idx="24">
                  <c:v>0.59851297028603956</c:v>
                </c:pt>
                <c:pt idx="25">
                  <c:v>0.62188277215143961</c:v>
                </c:pt>
                <c:pt idx="26">
                  <c:v>0.64506314250012864</c:v>
                </c:pt>
                <c:pt idx="27">
                  <c:v>0.66804702036674379</c:v>
                </c:pt>
                <c:pt idx="28">
                  <c:v>0.69082740463943926</c:v>
                </c:pt>
                <c:pt idx="29">
                  <c:v>0.71339735619248579</c:v>
                </c:pt>
                <c:pt idx="30">
                  <c:v>0.73575000000000124</c:v>
                </c:pt>
                <c:pt idx="31">
                  <c:v>0.7578785272301457</c:v>
                </c:pt>
                <c:pt idx="32">
                  <c:v>0.77977619731916181</c:v>
                </c:pt>
                <c:pt idx="33">
                  <c:v>0.80143634002461195</c:v>
                </c:pt>
                <c:pt idx="34">
                  <c:v>0.82285235745720398</c:v>
                </c:pt>
                <c:pt idx="35">
                  <c:v>0.84401772609056469</c:v>
                </c:pt>
                <c:pt idx="36">
                  <c:v>0.86492599874837506</c:v>
                </c:pt>
                <c:pt idx="37">
                  <c:v>0.88557080656823961</c:v>
                </c:pt>
                <c:pt idx="38">
                  <c:v>0.90594586094170615</c:v>
                </c:pt>
                <c:pt idx="39">
                  <c:v>0.92604495542983678</c:v>
                </c:pt>
                <c:pt idx="40">
                  <c:v>0.94586196765374353</c:v>
                </c:pt>
                <c:pt idx="41">
                  <c:v>0.96539086115953165</c:v>
                </c:pt>
                <c:pt idx="42">
                  <c:v>0.98462568725706012</c:v>
                </c:pt>
                <c:pt idx="43">
                  <c:v>1.0035605868319666</c:v>
                </c:pt>
                <c:pt idx="44">
                  <c:v>1.0221897921304139</c:v>
                </c:pt>
                <c:pt idx="45">
                  <c:v>1.0405076285160062</c:v>
                </c:pt>
                <c:pt idx="46">
                  <c:v>1.0585085161983261</c:v>
                </c:pt>
                <c:pt idx="47">
                  <c:v>1.0761869719326109</c:v>
                </c:pt>
                <c:pt idx="48">
                  <c:v>1.0935376106899846</c:v>
                </c:pt>
                <c:pt idx="49">
                  <c:v>1.1105551472978101</c:v>
                </c:pt>
                <c:pt idx="50">
                  <c:v>1.1272343980495743</c:v>
                </c:pt>
                <c:pt idx="51">
                  <c:v>1.1435702822839318</c:v>
                </c:pt>
                <c:pt idx="52">
                  <c:v>1.1595578239322935</c:v>
                </c:pt>
                <c:pt idx="53">
                  <c:v>1.1751921530345917</c:v>
                </c:pt>
                <c:pt idx="54">
                  <c:v>1.1904685072227361</c:v>
                </c:pt>
                <c:pt idx="55">
                  <c:v>1.205382233171252</c:v>
                </c:pt>
                <c:pt idx="56">
                  <c:v>1.2199287880147422</c:v>
                </c:pt>
                <c:pt idx="57">
                  <c:v>1.2341037407316917</c:v>
                </c:pt>
                <c:pt idx="58">
                  <c:v>1.2479027734941797</c:v>
                </c:pt>
                <c:pt idx="59">
                  <c:v>1.2613216829831562</c:v>
                </c:pt>
                <c:pt idx="60">
                  <c:v>1.2743563816688026</c:v>
                </c:pt>
                <c:pt idx="61">
                  <c:v>1.287002899055621</c:v>
                </c:pt>
                <c:pt idx="62">
                  <c:v>1.2992573828919121</c:v>
                </c:pt>
                <c:pt idx="63">
                  <c:v>1.3111161003431835</c:v>
                </c:pt>
                <c:pt idx="64">
                  <c:v>1.3225754391292255</c:v>
                </c:pt>
                <c:pt idx="65">
                  <c:v>1.3336319086244295</c:v>
                </c:pt>
                <c:pt idx="66">
                  <c:v>1.3442821409210894</c:v>
                </c:pt>
                <c:pt idx="67">
                  <c:v>1.3545228918552661</c:v>
                </c:pt>
                <c:pt idx="68">
                  <c:v>1.3643510419950291</c:v>
                </c:pt>
                <c:pt idx="69">
                  <c:v>1.3737635975906315</c:v>
                </c:pt>
                <c:pt idx="70">
                  <c:v>1.3827576914864645</c:v>
                </c:pt>
                <c:pt idx="71">
                  <c:v>1.3913305839943948</c:v>
                </c:pt>
                <c:pt idx="72">
                  <c:v>1.3994796637283184</c:v>
                </c:pt>
                <c:pt idx="73">
                  <c:v>1.4072024483996057</c:v>
                </c:pt>
                <c:pt idx="74">
                  <c:v>1.4144965855732359</c:v>
                </c:pt>
                <c:pt idx="75">
                  <c:v>1.421359853384363</c:v>
                </c:pt>
                <c:pt idx="76">
                  <c:v>1.4277901612151278</c:v>
                </c:pt>
                <c:pt idx="77">
                  <c:v>1.4337855503314736</c:v>
                </c:pt>
                <c:pt idx="78">
                  <c:v>1.439344194479794</c:v>
                </c:pt>
                <c:pt idx="79">
                  <c:v>1.4444644004432377</c:v>
                </c:pt>
                <c:pt idx="80">
                  <c:v>1.4491446085574617</c:v>
                </c:pt>
                <c:pt idx="81">
                  <c:v>1.4533833931857456</c:v>
                </c:pt>
                <c:pt idx="82">
                  <c:v>1.4571794631532209</c:v>
                </c:pt>
                <c:pt idx="83">
                  <c:v>1.4605316621402054</c:v>
                </c:pt>
                <c:pt idx="84">
                  <c:v>1.4634389690344138</c:v>
                </c:pt>
                <c:pt idx="85">
                  <c:v>1.4659004982420027</c:v>
                </c:pt>
                <c:pt idx="86">
                  <c:v>1.4679154999573314</c:v>
                </c:pt>
                <c:pt idx="87">
                  <c:v>1.4694833603913555</c:v>
                </c:pt>
                <c:pt idx="88">
                  <c:v>1.4706036019585995</c:v>
                </c:pt>
                <c:pt idx="89">
                  <c:v>1.4712758834226298</c:v>
                </c:pt>
              </c:numCache>
            </c:numRef>
          </c:yVal>
        </c:ser>
        <c:axId val="53332992"/>
        <c:axId val="65070592"/>
      </c:scatterChart>
      <c:valAx>
        <c:axId val="53332992"/>
        <c:scaling>
          <c:orientation val="minMax"/>
        </c:scaling>
        <c:axPos val="b"/>
        <c:title>
          <c:tx>
            <c:rich>
              <a:bodyPr/>
              <a:lstStyle/>
              <a:p>
                <a:pPr>
                  <a:defRPr/>
                </a:pPr>
                <a:r>
                  <a:rPr lang="el-GR">
                    <a:latin typeface="Calibri"/>
                  </a:rPr>
                  <a:t>θ</a:t>
                </a:r>
                <a:r>
                  <a:rPr lang="en-US" baseline="-25000">
                    <a:latin typeface="+mn-lt"/>
                  </a:rPr>
                  <a:t>1 </a:t>
                </a:r>
                <a:r>
                  <a:rPr lang="en-US" baseline="0"/>
                  <a:t>(deg</a:t>
                </a:r>
                <a:r>
                  <a:rPr lang="en-US"/>
                  <a:t>)</a:t>
                </a:r>
              </a:p>
            </c:rich>
          </c:tx>
        </c:title>
        <c:numFmt formatCode="General" sourceLinked="1"/>
        <c:tickLblPos val="nextTo"/>
        <c:crossAx val="65070592"/>
        <c:crosses val="autoZero"/>
        <c:crossBetween val="midCat"/>
      </c:valAx>
      <c:valAx>
        <c:axId val="65070592"/>
        <c:scaling>
          <c:orientation val="minMax"/>
        </c:scaling>
        <c:axPos val="l"/>
        <c:majorGridlines/>
        <c:title>
          <c:tx>
            <c:rich>
              <a:bodyPr rot="-5400000" vert="horz"/>
              <a:lstStyle/>
              <a:p>
                <a:pPr>
                  <a:defRPr/>
                </a:pPr>
                <a:r>
                  <a:rPr lang="en-US"/>
                  <a:t>Torque (Nm)</a:t>
                </a:r>
              </a:p>
            </c:rich>
          </c:tx>
        </c:title>
        <c:numFmt formatCode="General" sourceLinked="1"/>
        <c:tickLblPos val="nextTo"/>
        <c:crossAx val="53332992"/>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Torque vs Theta</a:t>
            </a:r>
          </a:p>
        </c:rich>
      </c:tx>
      <c:overlay val="1"/>
    </c:title>
    <c:plotArea>
      <c:layout>
        <c:manualLayout>
          <c:layoutTarget val="inner"/>
          <c:xMode val="edge"/>
          <c:yMode val="edge"/>
          <c:x val="0.17563972487628771"/>
          <c:y val="0.11948340280994288"/>
          <c:w val="0.71157545931758681"/>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11.999999999999995</c:v>
                </c:pt>
                <c:pt idx="79">
                  <c:v>11.000000000000002</c:v>
                </c:pt>
                <c:pt idx="80">
                  <c:v>10.000000000000052</c:v>
                </c:pt>
                <c:pt idx="81">
                  <c:v>8.9999999999999538</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9.0140297569902202E-17</c:v>
                </c:pt>
                <c:pt idx="1">
                  <c:v>2.5681216072462563E-2</c:v>
                </c:pt>
                <c:pt idx="2">
                  <c:v>5.1354609397730407E-2</c:v>
                </c:pt>
                <c:pt idx="3">
                  <c:v>7.7012359611492054E-2</c:v>
                </c:pt>
                <c:pt idx="4">
                  <c:v>0.10264665111448062</c:v>
                </c:pt>
                <c:pt idx="5">
                  <c:v>0.12824967545317961</c:v>
                </c:pt>
                <c:pt idx="6">
                  <c:v>0.15381363369835221</c:v>
                </c:pt>
                <c:pt idx="7">
                  <c:v>0.17933073882067471</c:v>
                </c:pt>
                <c:pt idx="8">
                  <c:v>0.20479321806273693</c:v>
                </c:pt>
                <c:pt idx="9">
                  <c:v>0.23019331530669984</c:v>
                </c:pt>
                <c:pt idx="10">
                  <c:v>0.25552329343688812</c:v>
                </c:pt>
                <c:pt idx="11">
                  <c:v>0.28077543669658545</c:v>
                </c:pt>
                <c:pt idx="12">
                  <c:v>0.30594205303833244</c:v>
                </c:pt>
                <c:pt idx="13">
                  <c:v>0.3310154764669973</c:v>
                </c:pt>
                <c:pt idx="14">
                  <c:v>0.35598806937491251</c:v>
                </c:pt>
                <c:pt idx="15">
                  <c:v>0.38085222486835973</c:v>
                </c:pt>
                <c:pt idx="16">
                  <c:v>0.40560036908471486</c:v>
                </c:pt>
                <c:pt idx="17">
                  <c:v>0.43022496349950812</c:v>
                </c:pt>
                <c:pt idx="18">
                  <c:v>0.45471850722273532</c:v>
                </c:pt>
                <c:pt idx="19">
                  <c:v>0.47907353928370638</c:v>
                </c:pt>
                <c:pt idx="20">
                  <c:v>0.50328264090372099</c:v>
                </c:pt>
                <c:pt idx="21">
                  <c:v>0.52733843775590916</c:v>
                </c:pt>
                <c:pt idx="22">
                  <c:v>0.55123360221151463</c:v>
                </c:pt>
                <c:pt idx="23">
                  <c:v>0.57496085557196652</c:v>
                </c:pt>
                <c:pt idx="24">
                  <c:v>0.59851297028603923</c:v>
                </c:pt>
                <c:pt idx="25">
                  <c:v>0.62188277215143961</c:v>
                </c:pt>
                <c:pt idx="26">
                  <c:v>0.64506314250012864</c:v>
                </c:pt>
                <c:pt idx="27">
                  <c:v>0.66804702036674402</c:v>
                </c:pt>
                <c:pt idx="28">
                  <c:v>0.6908274046394397</c:v>
                </c:pt>
                <c:pt idx="29">
                  <c:v>0.71339735619248601</c:v>
                </c:pt>
                <c:pt idx="30">
                  <c:v>0.73575000000000146</c:v>
                </c:pt>
                <c:pt idx="31">
                  <c:v>0.75787852723014593</c:v>
                </c:pt>
                <c:pt idx="32">
                  <c:v>0.77977619731916203</c:v>
                </c:pt>
                <c:pt idx="33">
                  <c:v>0.8014363400246115</c:v>
                </c:pt>
                <c:pt idx="34">
                  <c:v>0.82285235745720398</c:v>
                </c:pt>
                <c:pt idx="35">
                  <c:v>0.84401772609056469</c:v>
                </c:pt>
                <c:pt idx="36">
                  <c:v>0.8649259987483755</c:v>
                </c:pt>
                <c:pt idx="37">
                  <c:v>0.88557080656823961</c:v>
                </c:pt>
                <c:pt idx="38">
                  <c:v>0.90594586094170615</c:v>
                </c:pt>
                <c:pt idx="39">
                  <c:v>0.926044955429837</c:v>
                </c:pt>
                <c:pt idx="40">
                  <c:v>0.94586196765374364</c:v>
                </c:pt>
                <c:pt idx="41">
                  <c:v>0.96539086115953165</c:v>
                </c:pt>
                <c:pt idx="42">
                  <c:v>0.98462568725706012</c:v>
                </c:pt>
                <c:pt idx="43">
                  <c:v>1.0035605868319666</c:v>
                </c:pt>
                <c:pt idx="44">
                  <c:v>1.0221897921304135</c:v>
                </c:pt>
                <c:pt idx="45">
                  <c:v>1.0405076285160066</c:v>
                </c:pt>
                <c:pt idx="46">
                  <c:v>1.0585085161983261</c:v>
                </c:pt>
                <c:pt idx="47">
                  <c:v>1.0761869719326114</c:v>
                </c:pt>
                <c:pt idx="48">
                  <c:v>1.0935376106899839</c:v>
                </c:pt>
                <c:pt idx="49">
                  <c:v>1.1105551472978101</c:v>
                </c:pt>
                <c:pt idx="50">
                  <c:v>1.1272343980495736</c:v>
                </c:pt>
                <c:pt idx="51">
                  <c:v>1.1435702822839318</c:v>
                </c:pt>
                <c:pt idx="52">
                  <c:v>1.1595578239322943</c:v>
                </c:pt>
                <c:pt idx="53">
                  <c:v>1.1751921530345917</c:v>
                </c:pt>
                <c:pt idx="54">
                  <c:v>1.1904685072227361</c:v>
                </c:pt>
                <c:pt idx="55">
                  <c:v>1.205382233171252</c:v>
                </c:pt>
                <c:pt idx="56">
                  <c:v>1.2199287880147416</c:v>
                </c:pt>
                <c:pt idx="57">
                  <c:v>1.2341037407316917</c:v>
                </c:pt>
                <c:pt idx="58">
                  <c:v>1.2479027734941792</c:v>
                </c:pt>
                <c:pt idx="59">
                  <c:v>1.2613216829831553</c:v>
                </c:pt>
                <c:pt idx="60">
                  <c:v>1.2743563816688031</c:v>
                </c:pt>
                <c:pt idx="61">
                  <c:v>1.287002899055621</c:v>
                </c:pt>
                <c:pt idx="62">
                  <c:v>1.2992573828919121</c:v>
                </c:pt>
                <c:pt idx="63">
                  <c:v>1.3111161003431835</c:v>
                </c:pt>
                <c:pt idx="64">
                  <c:v>1.3225754391292259</c:v>
                </c:pt>
                <c:pt idx="65">
                  <c:v>1.333631908624429</c:v>
                </c:pt>
                <c:pt idx="66">
                  <c:v>1.3442821409210903</c:v>
                </c:pt>
                <c:pt idx="67">
                  <c:v>1.3545228918552661</c:v>
                </c:pt>
                <c:pt idx="68">
                  <c:v>1.3643510419950295</c:v>
                </c:pt>
                <c:pt idx="69">
                  <c:v>1.373763597590631</c:v>
                </c:pt>
                <c:pt idx="70">
                  <c:v>1.3827576914864645</c:v>
                </c:pt>
                <c:pt idx="71">
                  <c:v>1.3913305839943948</c:v>
                </c:pt>
                <c:pt idx="72">
                  <c:v>1.3994796637283184</c:v>
                </c:pt>
                <c:pt idx="73">
                  <c:v>1.4072024483996053</c:v>
                </c:pt>
                <c:pt idx="74">
                  <c:v>1.4144965855732359</c:v>
                </c:pt>
                <c:pt idx="75">
                  <c:v>1.4213598533843625</c:v>
                </c:pt>
                <c:pt idx="76">
                  <c:v>1.4277901612151278</c:v>
                </c:pt>
                <c:pt idx="77">
                  <c:v>1.4337855503314736</c:v>
                </c:pt>
                <c:pt idx="78">
                  <c:v>1.4393441944797938</c:v>
                </c:pt>
                <c:pt idx="79">
                  <c:v>1.4444644004432377</c:v>
                </c:pt>
                <c:pt idx="80">
                  <c:v>1.4491446085574609</c:v>
                </c:pt>
                <c:pt idx="81">
                  <c:v>1.4533833931857456</c:v>
                </c:pt>
                <c:pt idx="82">
                  <c:v>1.4571794631532209</c:v>
                </c:pt>
                <c:pt idx="83">
                  <c:v>1.4605316621402054</c:v>
                </c:pt>
                <c:pt idx="84">
                  <c:v>1.4634389690344138</c:v>
                </c:pt>
                <c:pt idx="85">
                  <c:v>1.4659004982420019</c:v>
                </c:pt>
                <c:pt idx="86">
                  <c:v>1.4679154999573314</c:v>
                </c:pt>
                <c:pt idx="87">
                  <c:v>1.4694833603913555</c:v>
                </c:pt>
                <c:pt idx="88">
                  <c:v>1.4706036019585995</c:v>
                </c:pt>
                <c:pt idx="89">
                  <c:v>1.4712758834226298</c:v>
                </c:pt>
              </c:numCache>
            </c:numRef>
          </c:yVal>
        </c:ser>
        <c:axId val="106987904"/>
        <c:axId val="106990208"/>
      </c:scatterChart>
      <c:valAx>
        <c:axId val="106987904"/>
        <c:scaling>
          <c:orientation val="minMax"/>
        </c:scaling>
        <c:axPos val="b"/>
        <c:title>
          <c:tx>
            <c:rich>
              <a:bodyPr/>
              <a:lstStyle/>
              <a:p>
                <a:pPr>
                  <a:defRPr/>
                </a:pPr>
                <a:r>
                  <a:rPr lang="en-US"/>
                  <a:t>Theta 1 (deg)</a:t>
                </a:r>
              </a:p>
            </c:rich>
          </c:tx>
        </c:title>
        <c:numFmt formatCode="General" sourceLinked="1"/>
        <c:tickLblPos val="nextTo"/>
        <c:crossAx val="106990208"/>
        <c:crosses val="autoZero"/>
        <c:crossBetween val="midCat"/>
      </c:valAx>
      <c:valAx>
        <c:axId val="106990208"/>
        <c:scaling>
          <c:orientation val="minMax"/>
        </c:scaling>
        <c:axPos val="l"/>
        <c:majorGridlines/>
        <c:title>
          <c:tx>
            <c:rich>
              <a:bodyPr rot="-5400000" vert="horz"/>
              <a:lstStyle/>
              <a:p>
                <a:pPr>
                  <a:defRPr/>
                </a:pPr>
                <a:r>
                  <a:rPr lang="en-US"/>
                  <a:t>Torque (Nm)</a:t>
                </a:r>
              </a:p>
            </c:rich>
          </c:tx>
        </c:title>
        <c:numFmt formatCode="General" sourceLinked="1"/>
        <c:tickLblPos val="nextTo"/>
        <c:crossAx val="10698790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2010-02-25T05:51:00Z</dcterms:created>
  <dcterms:modified xsi:type="dcterms:W3CDTF">2010-01-28T07:02:00Z</dcterms:modified>
</cp:coreProperties>
</file>