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D9" w:rsidRDefault="0017405D" w:rsidP="00061761">
      <w:pPr>
        <w:spacing w:line="360" w:lineRule="auto"/>
      </w:pPr>
      <w:r>
        <w:t xml:space="preserve">An essential calculation which had to be completed before moving on to other analyses is that of the linkage lengths (most importantly Link1 and Link 2) and their corresponding “workable” area. In this analysis, we try to </w:t>
      </w:r>
      <w:r w:rsidR="00061761">
        <w:t xml:space="preserve">maximize </w:t>
      </w:r>
      <w:r>
        <w:t xml:space="preserve">the link lengths to maximize the workable area which can be sculpted </w:t>
      </w:r>
      <w:r w:rsidR="00061761">
        <w:t>using</w:t>
      </w:r>
      <w:r>
        <w:t xml:space="preserve"> the tool bit. </w:t>
      </w:r>
      <w:r w:rsidR="00061761">
        <w:t>At the same time, the</w:t>
      </w:r>
      <w:r>
        <w:t xml:space="preserve"> link sizes should not be too large in order to minimize size and weight of the overall device. Thus, a balance must be st</w:t>
      </w:r>
      <w:r w:rsidR="00AC2680">
        <w:t>r</w:t>
      </w:r>
      <w:r>
        <w:t xml:space="preserve">uck between link sizes and workable area. </w:t>
      </w:r>
      <w:r w:rsidR="008F0ED9">
        <w:t xml:space="preserve"> The following user satisfaction curves illustrate the relative importance of each:</w:t>
      </w:r>
    </w:p>
    <w:p w:rsidR="004E382A" w:rsidRDefault="008F0ED9" w:rsidP="008F0ED9">
      <w:pPr>
        <w:spacing w:line="360" w:lineRule="auto"/>
      </w:pPr>
      <w:r w:rsidRPr="008F0ED9">
        <w:rPr>
          <w:noProof/>
          <w:lang w:bidi="ar-SA"/>
        </w:rPr>
        <w:drawing>
          <wp:inline distT="0" distB="0" distL="0" distR="0">
            <wp:extent cx="4694427" cy="2516698"/>
            <wp:effectExtent l="19050" t="0" r="10923"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 xml:space="preserve"> </w:t>
      </w:r>
    </w:p>
    <w:p w:rsidR="008F0ED9" w:rsidRDefault="00590895" w:rsidP="008F0ED9">
      <w:pPr>
        <w:spacing w:line="360" w:lineRule="auto"/>
      </w:pPr>
      <w:r>
        <w:rPr>
          <w:noProof/>
          <w:lang w:bidi="ar-SA"/>
        </w:rPr>
        <w:pict>
          <v:shapetype id="_x0000_t202" coordsize="21600,21600" o:spt="202" path="m,l,21600r21600,l21600,xe">
            <v:stroke joinstyle="miter"/>
            <v:path gradientshapeok="t" o:connecttype="rect"/>
          </v:shapetype>
          <v:shape id="_x0000_s1080" type="#_x0000_t202" style="position:absolute;left:0;text-align:left;margin-left:118.75pt;margin-top:183.6pt;width:94.5pt;height:38.25pt;z-index:251698176;mso-width-relative:margin;mso-height-relative:margin" stroked="f">
            <v:textbox style="mso-next-textbox:#_x0000_s1080">
              <w:txbxContent>
                <w:p w:rsidR="00B53F94" w:rsidRPr="00B53F94" w:rsidRDefault="00B53F94" w:rsidP="00B53F94">
                  <w:pPr>
                    <w:ind w:firstLine="0"/>
                    <w:rPr>
                      <w:sz w:val="18"/>
                      <w:szCs w:val="18"/>
                    </w:rPr>
                  </w:pPr>
                  <w:r>
                    <w:rPr>
                      <w:sz w:val="18"/>
                      <w:szCs w:val="18"/>
                    </w:rPr>
                    <w:t>Cannot reach most critical points on a normal-sized knee</w:t>
                  </w:r>
                </w:p>
              </w:txbxContent>
            </v:textbox>
          </v:shape>
        </w:pict>
      </w:r>
      <w:r>
        <w:rPr>
          <w:noProof/>
          <w:lang w:bidi="ar-SA"/>
        </w:rPr>
        <w:pict>
          <v:shape id="_x0000_s1079" type="#_x0000_t202" style="position:absolute;left:0;text-align:left;margin-left:204.8pt;margin-top:182.8pt;width:104.85pt;height:38.35pt;z-index:251697152;mso-width-relative:margin;mso-height-relative:margin" stroked="f">
            <v:textbox>
              <w:txbxContent>
                <w:p w:rsidR="008F0ED9" w:rsidRPr="00B53F94" w:rsidRDefault="00B53F94" w:rsidP="00B53F94">
                  <w:pPr>
                    <w:ind w:firstLine="0"/>
                    <w:jc w:val="center"/>
                    <w:rPr>
                      <w:sz w:val="18"/>
                      <w:szCs w:val="18"/>
                    </w:rPr>
                  </w:pPr>
                  <w:r w:rsidRPr="00B53F94">
                    <w:rPr>
                      <w:sz w:val="18"/>
                      <w:szCs w:val="18"/>
                    </w:rPr>
                    <w:t>Can reach most critical points of a normal-sized knee</w:t>
                  </w:r>
                </w:p>
              </w:txbxContent>
            </v:textbox>
          </v:shape>
        </w:pict>
      </w:r>
      <w:r>
        <w:rPr>
          <w:noProof/>
          <w:lang w:eastAsia="zh-TW"/>
        </w:rPr>
        <w:pict>
          <v:shape id="_x0000_s1078" type="#_x0000_t202" style="position:absolute;left:0;text-align:left;margin-left:313pt;margin-top:182.8pt;width:94.5pt;height:32.35pt;z-index:251696128;mso-width-relative:margin;mso-height-relative:margin" stroked="f">
            <v:textbox style="mso-next-textbox:#_x0000_s1078">
              <w:txbxContent>
                <w:p w:rsidR="008F0ED9" w:rsidRPr="00B53F94" w:rsidRDefault="008F0ED9" w:rsidP="00B53F94">
                  <w:pPr>
                    <w:ind w:firstLine="0"/>
                    <w:rPr>
                      <w:sz w:val="18"/>
                      <w:szCs w:val="18"/>
                    </w:rPr>
                  </w:pPr>
                  <w:r w:rsidRPr="00B53F94">
                    <w:rPr>
                      <w:sz w:val="18"/>
                      <w:szCs w:val="18"/>
                    </w:rPr>
                    <w:t xml:space="preserve">Can reach all </w:t>
                  </w:r>
                  <w:r w:rsidR="00B53F94" w:rsidRPr="00B53F94">
                    <w:rPr>
                      <w:sz w:val="18"/>
                      <w:szCs w:val="18"/>
                    </w:rPr>
                    <w:t>points on</w:t>
                  </w:r>
                  <w:r w:rsidRPr="00B53F94">
                    <w:rPr>
                      <w:sz w:val="18"/>
                      <w:szCs w:val="18"/>
                    </w:rPr>
                    <w:t xml:space="preserve"> a large-sized knee</w:t>
                  </w:r>
                </w:p>
              </w:txbxContent>
            </v:textbox>
          </v:shape>
        </w:pict>
      </w:r>
      <w:r w:rsidR="008F0ED9" w:rsidRPr="008F0ED9">
        <w:rPr>
          <w:noProof/>
          <w:lang w:bidi="ar-SA"/>
        </w:rPr>
        <w:drawing>
          <wp:inline distT="0" distB="0" distL="0" distR="0">
            <wp:extent cx="4695563" cy="3140157"/>
            <wp:effectExtent l="19050" t="0" r="9787" b="3093"/>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53F94" w:rsidRDefault="003F54D1" w:rsidP="003F54D1">
      <w:pPr>
        <w:spacing w:line="360" w:lineRule="auto"/>
      </w:pPr>
      <w:r>
        <w:t xml:space="preserve">From the graphs, it can be seen that the link weights are slightly more important for user satisfaction, and thus, the structural design focus will be to reduce link size (and weight) more than to achieve a larger workable area than what’s functionally needed. </w:t>
      </w:r>
    </w:p>
    <w:p w:rsidR="0017405D" w:rsidRDefault="0007337B" w:rsidP="0007337B">
      <w:pPr>
        <w:spacing w:line="360" w:lineRule="auto"/>
      </w:pPr>
      <w:r>
        <w:lastRenderedPageBreak/>
        <w:t>This section of the report explains the theory behind the link size calculations and how we determined them to be within discrete ranges. First of all</w:t>
      </w:r>
      <w:r w:rsidR="0017405D">
        <w:t xml:space="preserve"> we must define how we express the workable area at the tool bit. From the </w:t>
      </w:r>
      <w:r w:rsidR="0017405D">
        <w:rPr>
          <w:i/>
          <w:iCs/>
        </w:rPr>
        <w:t>Matlab</w:t>
      </w:r>
      <w:r w:rsidR="0017405D">
        <w:t xml:space="preserve"> plots results discussed in the CFP, we already know the general shape of these areas. They can be </w:t>
      </w:r>
      <w:r w:rsidR="002131C2">
        <w:rPr>
          <w:i/>
          <w:iCs/>
        </w:rPr>
        <w:t>approximated</w:t>
      </w:r>
      <w:r w:rsidR="0017405D">
        <w:t xml:space="preserve"> as the area between two circular boundaries, one boundary of which is larger than the other. Thus, we define the outer or larger curved boundary as R</w:t>
      </w:r>
      <w:r w:rsidR="0017405D">
        <w:rPr>
          <w:vertAlign w:val="subscript"/>
        </w:rPr>
        <w:t>max</w:t>
      </w:r>
      <w:r w:rsidR="0017405D">
        <w:t xml:space="preserve"> and the inner our smaller curved boundary as R</w:t>
      </w:r>
      <w:r w:rsidR="0017405D">
        <w:rPr>
          <w:vertAlign w:val="subscript"/>
        </w:rPr>
        <w:t>min</w:t>
      </w:r>
      <w:r w:rsidR="0017405D">
        <w:t xml:space="preserve">. </w:t>
      </w:r>
      <w:r w:rsidR="002131C2">
        <w:t>The side boundaries of the workable area are approximated as straight vertical lines, and the distance between them is called Range</w:t>
      </w:r>
      <w:r w:rsidR="002131C2">
        <w:rPr>
          <w:vertAlign w:val="subscript"/>
        </w:rPr>
        <w:t>x</w:t>
      </w:r>
      <w:r w:rsidR="002131C2">
        <w:t>. Thus, the workable area looks like the following (note: in reality, the origins of the radii should be different, but this is a very close approximation):</w:t>
      </w:r>
    </w:p>
    <w:p w:rsidR="002131C2" w:rsidRPr="002131C2" w:rsidRDefault="00590895" w:rsidP="008211C6">
      <w:pPr>
        <w:spacing w:line="360" w:lineRule="auto"/>
      </w:pPr>
      <w:r>
        <w:rPr>
          <w:noProof/>
          <w:lang w:bidi="ar-SA"/>
        </w:rPr>
        <w:pict>
          <v:group id="_x0000_s1038" style="position:absolute;left:0;text-align:left;margin-left:99.5pt;margin-top:.3pt;width:220.1pt;height:148.05pt;z-index:251670528" coordorigin="3430,5877" coordsize="4402,2961">
            <v:shapetype id="_x0000_t32" coordsize="21600,21600" o:spt="32" o:oned="t" path="m,l21600,21600e" filled="f">
              <v:path arrowok="t" fillok="f" o:connecttype="none"/>
              <o:lock v:ext="edit" shapetype="t"/>
            </v:shapetype>
            <v:shape id="_x0000_s1029" type="#_x0000_t32" style="position:absolute;left:7832;top:6973;width:0;height:1178;flip:y" o:connectortype="straight"/>
            <v:group id="_x0000_s1037" style="position:absolute;left:3430;top:5877;width:4402;height:2961" coordorigin="3248,5864" coordsize="4402,296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7" type="#_x0000_t19" style="position:absolute;left:5192;top:4516;width:513;height:4402;rotation:270" coordsize="21799,43200" adj=",5932852,199" path="wr-21401,,21799,43200,199,,,43199nfewr-21401,,21799,43200,199,,,43199l199,21600nsxe">
                <v:path o:connectlocs="199,0;0,43199;199,21600"/>
              </v:shape>
              <v:shape id="_x0000_s1028" type="#_x0000_t19" style="position:absolute;left:5224;top:5726;width:449;height:4402;rotation:270" coordsize="21799,43200" adj=",5932852,199" path="wr-21401,,21799,43200,199,,,43199nfewr-21401,,21799,43200,199,,,43199l199,21600nsxe">
                <v:path o:connectlocs="199,0;0,43199;199,21600"/>
              </v:shape>
              <v:shape id="_x0000_s1030" type="#_x0000_t32" style="position:absolute;left:3248;top:6973;width:0;height:1178;flip:y" o:connectortype="straight"/>
              <v:shape id="_x0000_s1031" type="#_x0000_t32" style="position:absolute;left:5456;top:6539;width:13;height:2286;flip:x y" o:connectortype="straight">
                <v:stroke endarrow="block"/>
              </v:shape>
              <v:shape id="_x0000_s1032" type="#_x0000_t32" style="position:absolute;left:5628;top:7702;width:0;height:1123;flip:y" o:connectortype="straight">
                <v:stroke endarrow="block"/>
              </v:shape>
              <v:shape id="_x0000_s1033" type="#_x0000_t32" style="position:absolute;left:3248;top:6341;width:4402;height:0" o:connectortype="straight">
                <v:stroke startarrow="block" endarrow="block"/>
              </v:shape>
              <v:shape id="_x0000_s1034" type="#_x0000_t202" style="position:absolute;left:5856;top:8151;width:658;height:413;mso-height-percent:200;mso-height-percent:200;mso-width-relative:margin;mso-height-relative:margin" stroked="f">
                <v:textbox style="mso-fit-shape-to-text:t">
                  <w:txbxContent>
                    <w:p w:rsidR="002131C2" w:rsidRDefault="002131C2" w:rsidP="002131C2">
                      <w:pPr>
                        <w:ind w:firstLine="0"/>
                      </w:pPr>
                      <w:r>
                        <w:t>R</w:t>
                      </w:r>
                      <w:r>
                        <w:rPr>
                          <w:vertAlign w:val="subscript"/>
                        </w:rPr>
                        <w:t>min</w:t>
                      </w:r>
                    </w:p>
                  </w:txbxContent>
                </v:textbox>
              </v:shape>
              <v:shape id="_x0000_s1035" type="#_x0000_t202" style="position:absolute;left:4630;top:6973;width:658;height:413;mso-height-percent:200;mso-height-percent:200;mso-width-relative:margin;mso-height-relative:margin" stroked="f">
                <v:textbox style="mso-fit-shape-to-text:t">
                  <w:txbxContent>
                    <w:p w:rsidR="002131C2" w:rsidRDefault="002131C2" w:rsidP="002131C2">
                      <w:pPr>
                        <w:ind w:firstLine="0"/>
                      </w:pPr>
                      <w:r>
                        <w:t>R</w:t>
                      </w:r>
                      <w:r>
                        <w:rPr>
                          <w:vertAlign w:val="subscript"/>
                        </w:rPr>
                        <w:t>max</w:t>
                      </w:r>
                    </w:p>
                  </w:txbxContent>
                </v:textbox>
              </v:shape>
              <v:shape id="_x0000_s1036" type="#_x0000_t202" style="position:absolute;left:5051;top:5864;width:934;height:413;mso-height-percent:200;mso-height-percent:200;mso-width-relative:margin;mso-height-relative:margin" stroked="f">
                <v:textbox style="mso-fit-shape-to-text:t">
                  <w:txbxContent>
                    <w:p w:rsidR="002131C2" w:rsidRPr="002131C2" w:rsidRDefault="002131C2" w:rsidP="002131C2">
                      <w:pPr>
                        <w:ind w:firstLine="0"/>
                      </w:pPr>
                      <w:r>
                        <w:t>Range</w:t>
                      </w:r>
                      <w:r>
                        <w:rPr>
                          <w:vertAlign w:val="subscript"/>
                        </w:rPr>
                        <w:t>x</w:t>
                      </w:r>
                    </w:p>
                  </w:txbxContent>
                </v:textbox>
              </v:shape>
            </v:group>
          </v:group>
        </w:pict>
      </w:r>
    </w:p>
    <w:p w:rsid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Pr="002131C2" w:rsidRDefault="002131C2" w:rsidP="008211C6">
      <w:pPr>
        <w:spacing w:line="360" w:lineRule="auto"/>
      </w:pPr>
    </w:p>
    <w:p w:rsidR="002131C2" w:rsidRDefault="005417CA" w:rsidP="007D3D3B">
      <w:pPr>
        <w:spacing w:line="360" w:lineRule="auto"/>
      </w:pPr>
      <w:r>
        <w:t>With the workspace coordinates defined, we mu</w:t>
      </w:r>
      <w:r w:rsidR="00061761">
        <w:t xml:space="preserve">st also define the variables of </w:t>
      </w:r>
      <w:r>
        <w:t xml:space="preserve">the linkage design in order to optimize the linkage sizes. </w:t>
      </w:r>
      <w:r w:rsidR="0097258A">
        <w:t>The linkage variables are vital for the analysis and are defined in the figure below. Th</w:t>
      </w:r>
      <w:r w:rsidR="007D3D3B">
        <w:t>e</w:t>
      </w:r>
      <w:r w:rsidR="0097258A">
        <w:t xml:space="preserve"> figure is </w:t>
      </w:r>
      <w:r w:rsidR="007D3D3B">
        <w:t xml:space="preserve">a simplified illustration of the linkage orientation, with the square point representing the bone mount and the circular point representing the cutting tool. </w:t>
      </w:r>
      <w:r w:rsidR="00D93C31">
        <w:t>The legend to the left identifies the link names.</w:t>
      </w:r>
    </w:p>
    <w:p w:rsidR="005417CA" w:rsidRDefault="00590895" w:rsidP="008211C6">
      <w:pPr>
        <w:spacing w:line="360" w:lineRule="auto"/>
      </w:pPr>
      <w:r>
        <w:rPr>
          <w:noProof/>
          <w:lang w:bidi="ar-SA"/>
        </w:rPr>
        <w:pict>
          <v:group id="_x0000_s1084" style="position:absolute;left:0;text-align:left;margin-left:216.95pt;margin-top:.5pt;width:113.6pt;height:214.25pt;z-index:251719680" coordorigin="5651,11000" coordsize="2272,4285">
            <v:shape id="_x0000_s1058" type="#_x0000_t202" style="position:absolute;left:5651;top:11658;width:490;height:413;mso-height-percent:200;mso-height-percent:200;mso-width-relative:margin;mso-height-relative:margin" o:regroupid="4" stroked="f">
              <v:textbox style="mso-next-textbox:#_x0000_s1058;mso-fit-shape-to-text:t">
                <w:txbxContent>
                  <w:p w:rsidR="005417CA" w:rsidRPr="005417CA" w:rsidRDefault="005417CA" w:rsidP="005417CA">
                    <w:pPr>
                      <w:ind w:firstLine="0"/>
                    </w:pPr>
                    <w:r>
                      <w:t>L</w:t>
                    </w:r>
                    <w:r>
                      <w:rPr>
                        <w:vertAlign w:val="subscript"/>
                      </w:rPr>
                      <w:t>3</w:t>
                    </w:r>
                  </w:p>
                </w:txbxContent>
              </v:textbox>
            </v:shape>
            <v:shape id="_x0000_s1057" type="#_x0000_t202" style="position:absolute;left:6000;top:12742;width:490;height:413;mso-height-percent:200;mso-height-percent:200;mso-width-relative:margin;mso-height-relative:margin" o:regroupid="4" stroked="f">
              <v:textbox style="mso-next-textbox:#_x0000_s1057;mso-fit-shape-to-text:t">
                <w:txbxContent>
                  <w:p w:rsidR="005417CA" w:rsidRPr="005417CA" w:rsidRDefault="005417CA" w:rsidP="005417CA">
                    <w:pPr>
                      <w:ind w:firstLine="0"/>
                    </w:pPr>
                    <w:r>
                      <w:t>L</w:t>
                    </w:r>
                    <w:r>
                      <w:rPr>
                        <w:vertAlign w:val="subscript"/>
                      </w:rPr>
                      <w:t>R</w:t>
                    </w:r>
                  </w:p>
                </w:txbxContent>
              </v:textbox>
            </v:shape>
            <v:shape id="_x0000_s1059" type="#_x0000_t202" style="position:absolute;left:6838;top:11413;width:490;height:413;mso-height-percent:200;mso-height-percent:200;mso-width-relative:margin;mso-height-relative:margin" o:regroupid="4" stroked="f">
              <v:textbox style="mso-next-textbox:#_x0000_s1059;mso-fit-shape-to-text:t">
                <w:txbxContent>
                  <w:p w:rsidR="005417CA" w:rsidRPr="005417CA" w:rsidRDefault="005417CA" w:rsidP="005417CA">
                    <w:pPr>
                      <w:ind w:firstLine="0"/>
                    </w:pPr>
                    <w:r>
                      <w:t>L</w:t>
                    </w:r>
                    <w:r>
                      <w:rPr>
                        <w:vertAlign w:val="subscript"/>
                      </w:rPr>
                      <w:t>5</w:t>
                    </w:r>
                  </w:p>
                </w:txbxContent>
              </v:textbox>
            </v:shape>
            <v:shape id="_x0000_s1063" type="#_x0000_t202" style="position:absolute;left:6049;top:11387;width:598;height:413;mso-height-percent:200;mso-height-percent:200;mso-width-relative:margin;mso-height-relative:margin" o:regroupid="4" stroked="f">
              <v:textbox style="mso-next-textbox:#_x0000_s1063;mso-fit-shape-to-text:t">
                <w:txbxContent>
                  <w:p w:rsidR="008211C6" w:rsidRPr="005417CA" w:rsidRDefault="008211C6" w:rsidP="008211C6">
                    <w:pPr>
                      <w:ind w:firstLine="0"/>
                    </w:pPr>
                    <w:r>
                      <w:t>θ</w:t>
                    </w:r>
                    <w:r>
                      <w:rPr>
                        <w:vertAlign w:val="subscript"/>
                      </w:rPr>
                      <w:t>3-5</w:t>
                    </w:r>
                  </w:p>
                </w:txbxContent>
              </v:textbox>
            </v:shape>
            <v:shape id="_x0000_s1068" type="#_x0000_t202" style="position:absolute;left:5998;top:11000;width:556;height:413;mso-height-percent:200;mso-height-percent:200;mso-width-relative:margin;mso-height-relative:margin" o:regroupid="4" stroked="f">
              <v:textbox style="mso-next-textbox:#_x0000_s1068;mso-fit-shape-to-text:t">
                <w:txbxContent>
                  <w:p w:rsidR="008211C6" w:rsidRPr="005417CA" w:rsidRDefault="008211C6" w:rsidP="008211C6">
                    <w:pPr>
                      <w:ind w:firstLine="0"/>
                    </w:pPr>
                    <w:r>
                      <w:t>θ</w:t>
                    </w:r>
                    <w:r>
                      <w:rPr>
                        <w:vertAlign w:val="subscript"/>
                      </w:rPr>
                      <w:t>5</w:t>
                    </w:r>
                  </w:p>
                </w:txbxContent>
              </v:textbox>
            </v:shape>
            <v:rect id="_x0000_s1081" style="position:absolute;left:6331;top:14250;width:1475;height:1035" fillcolor="#4f81bd [3204]" strokecolor="#f2f2f2 [3041]" strokeweight="3pt">
              <v:shadow on="t" type="perspective" color="#243f60 [1604]" opacity=".5" offset="1pt" offset2="-1pt"/>
            </v:rect>
            <v:oval id="_x0000_s1082" style="position:absolute;left:7586;top:12199;width:220;height:225" fillcolor="#c0504d [3205]" strokecolor="#f2f2f2 [3041]" strokeweight="3pt">
              <v:shadow on="t" type="perspective" color="#622423 [1605]" opacity=".5" offset="1pt" offset2="-1pt"/>
            </v:oval>
            <v:shape id="_x0000_s1065" type="#_x0000_t32" style="position:absolute;left:5685;top:11044;width:792;height:0" o:connectortype="straight" o:regroupid="2">
              <v:stroke dashstyle="dashDot"/>
            </v:shape>
            <v:shape id="_x0000_s1040" type="#_x0000_t32" style="position:absolute;left:5672;top:11064;width:805;height:1096;flip:x y" o:connectortype="straight" o:regroupid="3" strokeweight="2pt"/>
            <v:shape id="_x0000_s1039" type="#_x0000_t32" style="position:absolute;left:6477;top:12160;width:13;height:2233;flip:x" o:connectortype="straight" o:regroupid="4" strokeweight="2pt"/>
            <v:shape id="_x0000_s1041" type="#_x0000_t32" style="position:absolute;left:5685;top:11064;width:2018;height:1255" o:connectortype="straight" o:regroupid="4" strokeweight="2pt"/>
            <v:shape id="_x0000_s1044" type="#_x0000_t32" style="position:absolute;left:6490;top:12319;width:1213;height:2074;flip:y" o:connectortype="straight" o:regroupid="4">
              <v:stroke dashstyle="dash" endarrow="block"/>
            </v:shape>
            <v:shape id="_x0000_s1060" type="#_x0000_t202" style="position:absolute;left:7433;top:13155;width:490;height:413;mso-height-percent:200;mso-height-percent:200;mso-width-relative:margin;mso-height-relative:margin" o:regroupid="4" stroked="f">
              <v:textbox style="mso-next-textbox:#_x0000_s1060;mso-fit-shape-to-text:t">
                <w:txbxContent>
                  <w:p w:rsidR="005417CA" w:rsidRPr="005417CA" w:rsidRDefault="005417CA" w:rsidP="005417CA">
                    <w:pPr>
                      <w:ind w:firstLine="0"/>
                    </w:pPr>
                    <w:r>
                      <w:t>R</w:t>
                    </w:r>
                  </w:p>
                </w:txbxContent>
              </v:textbox>
            </v:shape>
            <v:shape id="_x0000_s1061" type="#_x0000_t19" style="position:absolute;left:5828;top:11251;width:143;height:123;flip:y" coordsize="21600,18646" o:regroupid="4" adj="-3911224,,,18646" path="wr-21600,-2954,21600,40246,10904,,21600,18646nfewr-21600,-2954,21600,40246,10904,,21600,18646l,18646nsxe">
              <v:path o:connectlocs="10904,0;21600,18646;0,18646"/>
            </v:shape>
            <v:shape id="_x0000_s1066" type="#_x0000_t19" style="position:absolute;left:5971;top:11044;width:153;height:187;flip:y" coordsize="23061,21600" o:regroupid="4" adj="-6496238,-1613749,3425" path="wr-18175,,25025,43200,,273,23061,12600nfewr-18175,,25025,43200,,273,23061,12600l3425,21600nsxe">
              <v:path o:connectlocs="0,273;23061,12600;3425,21600"/>
            </v:shape>
            <v:shape id="_x0000_s1083" type="#_x0000_t202" style="position:absolute;left:6618;top:14432;width:984;height:681;mso-height-percent:200;mso-height-percent:200;mso-width-relative:margin;mso-height-relative:margin" stroked="f">
              <v:textbox style="mso-fit-shape-to-text:t">
                <w:txbxContent>
                  <w:p w:rsidR="006861CB" w:rsidRDefault="006861CB" w:rsidP="006861CB">
                    <w:pPr>
                      <w:ind w:firstLine="0"/>
                      <w:jc w:val="center"/>
                    </w:pPr>
                    <w:r>
                      <w:t>Bone Mount</w:t>
                    </w:r>
                  </w:p>
                </w:txbxContent>
              </v:textbox>
            </v:shape>
          </v:group>
        </w:pict>
      </w:r>
    </w:p>
    <w:p w:rsidR="008211C6" w:rsidRDefault="008211C6" w:rsidP="008211C6">
      <w:pPr>
        <w:spacing w:line="360" w:lineRule="auto"/>
      </w:pPr>
    </w:p>
    <w:p w:rsidR="008211C6" w:rsidRDefault="00590895" w:rsidP="008211C6">
      <w:pPr>
        <w:spacing w:line="360" w:lineRule="auto"/>
      </w:pPr>
      <w:r>
        <w:rPr>
          <w:noProof/>
          <w:lang w:eastAsia="zh-TW"/>
        </w:rPr>
        <w:pict>
          <v:shape id="_x0000_s1086" type="#_x0000_t202" style="position:absolute;left:0;text-align:left;margin-left:318.2pt;margin-top:8.6pt;width:36pt;height:34.05pt;z-index:251669503;mso-height-percent:200;mso-height-percent:200;mso-width-relative:margin;mso-height-relative:margin" fillcolor="white [3212]" stroked="f">
            <v:textbox style="mso-fit-shape-to-text:t">
              <w:txbxContent>
                <w:p w:rsidR="00CB3169" w:rsidRPr="00CB3169" w:rsidRDefault="00CB3169" w:rsidP="00CB3169">
                  <w:pPr>
                    <w:ind w:firstLine="0"/>
                    <w:jc w:val="center"/>
                  </w:pPr>
                  <w:r w:rsidRPr="00CB3169">
                    <w:t>Tool</w:t>
                  </w:r>
                </w:p>
                <w:p w:rsidR="00CB3169" w:rsidRPr="00CB3169" w:rsidRDefault="00CB3169" w:rsidP="00CB3169">
                  <w:pPr>
                    <w:ind w:firstLine="0"/>
                    <w:jc w:val="center"/>
                  </w:pPr>
                  <w:r w:rsidRPr="00CB3169">
                    <w:t>Bit</w:t>
                  </w:r>
                </w:p>
              </w:txbxContent>
            </v:textbox>
          </v:shape>
        </w:pict>
      </w:r>
    </w:p>
    <w:p w:rsidR="008211C6" w:rsidRDefault="00590895" w:rsidP="008211C6">
      <w:pPr>
        <w:spacing w:line="360" w:lineRule="auto"/>
      </w:pPr>
      <w:r>
        <w:rPr>
          <w:noProof/>
          <w:lang w:eastAsia="zh-TW"/>
        </w:rPr>
        <w:pict>
          <v:shape id="_x0000_s1085" type="#_x0000_t202" style="position:absolute;left:0;text-align:left;margin-left:6.5pt;margin-top:11.25pt;width:153.8pt;height:49.95pt;z-index:251721728;mso-width-relative:margin;mso-height-relative:margin">
            <v:textbox>
              <w:txbxContent>
                <w:p w:rsidR="006861CB" w:rsidRDefault="006861CB" w:rsidP="006861CB">
                  <w:pPr>
                    <w:ind w:firstLine="0"/>
                  </w:pPr>
                  <w:r>
                    <w:rPr>
                      <w:b/>
                      <w:bCs/>
                    </w:rPr>
                    <w:t>L</w:t>
                  </w:r>
                  <w:r>
                    <w:rPr>
                      <w:b/>
                      <w:bCs/>
                      <w:vertAlign w:val="subscript"/>
                    </w:rPr>
                    <w:t>R</w:t>
                  </w:r>
                  <w:r>
                    <w:rPr>
                      <w:b/>
                      <w:bCs/>
                    </w:rPr>
                    <w:t xml:space="preserve">: </w:t>
                  </w:r>
                  <w:r>
                    <w:t>Radial Link</w:t>
                  </w:r>
                </w:p>
                <w:p w:rsidR="006861CB" w:rsidRDefault="006861CB" w:rsidP="006861CB">
                  <w:pPr>
                    <w:ind w:firstLine="0"/>
                  </w:pPr>
                  <w:r>
                    <w:rPr>
                      <w:b/>
                      <w:bCs/>
                    </w:rPr>
                    <w:t>L</w:t>
                  </w:r>
                  <w:r>
                    <w:rPr>
                      <w:b/>
                      <w:bCs/>
                      <w:vertAlign w:val="subscript"/>
                    </w:rPr>
                    <w:t>3</w:t>
                  </w:r>
                  <w:r>
                    <w:rPr>
                      <w:b/>
                      <w:bCs/>
                    </w:rPr>
                    <w:t xml:space="preserve">: </w:t>
                  </w:r>
                  <w:r>
                    <w:t>Vertical Offset Link</w:t>
                  </w:r>
                </w:p>
                <w:p w:rsidR="006861CB" w:rsidRPr="006861CB" w:rsidRDefault="006861CB" w:rsidP="006861CB">
                  <w:pPr>
                    <w:ind w:firstLine="0"/>
                  </w:pPr>
                  <w:r>
                    <w:rPr>
                      <w:b/>
                      <w:bCs/>
                    </w:rPr>
                    <w:t>L</w:t>
                  </w:r>
                  <w:r>
                    <w:rPr>
                      <w:b/>
                      <w:bCs/>
                      <w:vertAlign w:val="subscript"/>
                    </w:rPr>
                    <w:t>5</w:t>
                  </w:r>
                  <w:r>
                    <w:rPr>
                      <w:b/>
                      <w:bCs/>
                    </w:rPr>
                    <w:t xml:space="preserve">: </w:t>
                  </w:r>
                  <w:r>
                    <w:t>Tool Link (</w:t>
                  </w:r>
                  <w:r>
                    <w:rPr>
                      <w:u w:val="single"/>
                    </w:rPr>
                    <w:t>resultant</w:t>
                  </w:r>
                  <w:r>
                    <w:t xml:space="preserve"> length)</w:t>
                  </w:r>
                </w:p>
                <w:p w:rsidR="006861CB" w:rsidRPr="006861CB" w:rsidRDefault="006861CB" w:rsidP="006861CB">
                  <w:pPr>
                    <w:ind w:firstLine="0"/>
                  </w:pPr>
                </w:p>
              </w:txbxContent>
            </v:textbox>
          </v:shape>
        </w:pict>
      </w:r>
    </w:p>
    <w:p w:rsidR="008211C6" w:rsidRDefault="008211C6" w:rsidP="008211C6">
      <w:pPr>
        <w:spacing w:line="360" w:lineRule="auto"/>
      </w:pPr>
    </w:p>
    <w:p w:rsidR="008211C6" w:rsidRDefault="008211C6" w:rsidP="008211C6">
      <w:pPr>
        <w:spacing w:line="360" w:lineRule="auto"/>
      </w:pPr>
    </w:p>
    <w:p w:rsidR="008211C6" w:rsidRPr="008211C6" w:rsidRDefault="008211C6" w:rsidP="008211C6">
      <w:pPr>
        <w:spacing w:line="360" w:lineRule="auto"/>
      </w:pPr>
    </w:p>
    <w:p w:rsidR="008211C6" w:rsidRPr="008211C6" w:rsidRDefault="008211C6" w:rsidP="008211C6">
      <w:pPr>
        <w:spacing w:line="360" w:lineRule="auto"/>
      </w:pPr>
    </w:p>
    <w:p w:rsidR="008211C6" w:rsidRPr="008211C6" w:rsidRDefault="00590895" w:rsidP="008211C6">
      <w:pPr>
        <w:spacing w:line="360" w:lineRule="auto"/>
      </w:pPr>
      <w:r>
        <w:rPr>
          <w:noProof/>
          <w:lang w:bidi="ar-SA"/>
        </w:rPr>
        <w:pict>
          <v:group id="_x0000_s1074" style="position:absolute;left:0;text-align:left;margin-left:176.8pt;margin-top:1.85pt;width:49pt;height:50.5pt;z-index:251700224" coordorigin="1743,13644" coordsize="980,1010" o:regroupid="1">
            <v:shape id="_x0000_s1042" type="#_x0000_t32" style="position:absolute;left:1942;top:14057;width:0;height:409;flip:y" o:connectortype="straight">
              <v:stroke endarrow="block"/>
            </v:shape>
            <v:shape id="_x0000_s1043" type="#_x0000_t32" style="position:absolute;left:1942;top:14466;width:291;height:0" o:connectortype="straight">
              <v:stroke endarrow="block"/>
            </v:shape>
            <v:shape id="_x0000_s1069" type="#_x0000_t202" style="position:absolute;left:2233;top:14241;width:490;height:413;mso-height-percent:200;mso-height-percent:200;mso-width-relative:margin;mso-height-relative:margin" stroked="f">
              <v:textbox style="mso-next-textbox:#_x0000_s1069;mso-fit-shape-to-text:t">
                <w:txbxContent>
                  <w:p w:rsidR="008211C6" w:rsidRPr="005417CA" w:rsidRDefault="008211C6" w:rsidP="008211C6">
                    <w:pPr>
                      <w:ind w:firstLine="0"/>
                    </w:pPr>
                    <w:r>
                      <w:t>y</w:t>
                    </w:r>
                  </w:p>
                </w:txbxContent>
              </v:textbox>
            </v:shape>
            <v:shape id="_x0000_s1070" type="#_x0000_t202" style="position:absolute;left:1743;top:13644;width:490;height:413;mso-height-percent:200;mso-height-percent:200;mso-width-relative:margin;mso-height-relative:margin" stroked="f">
              <v:textbox style="mso-next-textbox:#_x0000_s1070;mso-fit-shape-to-text:t">
                <w:txbxContent>
                  <w:p w:rsidR="008211C6" w:rsidRPr="005417CA" w:rsidRDefault="00990BA5" w:rsidP="008211C6">
                    <w:pPr>
                      <w:ind w:firstLine="0"/>
                    </w:pPr>
                    <w:r>
                      <w:t>z</w:t>
                    </w:r>
                  </w:p>
                </w:txbxContent>
              </v:textbox>
            </v:shape>
          </v:group>
        </w:pict>
      </w:r>
    </w:p>
    <w:p w:rsidR="0097258A" w:rsidRDefault="0097258A" w:rsidP="008211C6">
      <w:pPr>
        <w:spacing w:line="360" w:lineRule="auto"/>
      </w:pPr>
    </w:p>
    <w:p w:rsidR="0097258A" w:rsidRDefault="0097258A" w:rsidP="008211C6">
      <w:pPr>
        <w:spacing w:line="360" w:lineRule="auto"/>
      </w:pPr>
    </w:p>
    <w:p w:rsidR="00061761" w:rsidRDefault="00F379A4" w:rsidP="0029000F">
      <w:pPr>
        <w:spacing w:line="360" w:lineRule="auto"/>
        <w:rPr>
          <w:color w:val="FF0000"/>
        </w:rPr>
      </w:pPr>
      <w:r>
        <w:t>With the configuration above, we need to maximize the workable area w</w:t>
      </w:r>
      <w:r w:rsidR="00061761">
        <w:t>hile, at the same time, minimizing</w:t>
      </w:r>
      <w:r>
        <w:t xml:space="preserve"> link lengths. The goal of the following analysis </w:t>
      </w:r>
      <w:r w:rsidR="0029000F">
        <w:t>is to optimize the link lengths and workable area.</w:t>
      </w:r>
      <w:r w:rsidR="00061761">
        <w:rPr>
          <w:color w:val="FF0000"/>
        </w:rPr>
        <w:t xml:space="preserve"> We perform the analysis by first computing a mathematical relationship of the workable area based on the link lengths and angles defined in the figure above.</w:t>
      </w:r>
    </w:p>
    <w:p w:rsidR="008211C6" w:rsidRDefault="0029000F" w:rsidP="0029000F">
      <w:pPr>
        <w:spacing w:line="360" w:lineRule="auto"/>
      </w:pPr>
      <w:r>
        <w:t xml:space="preserve"> To start, we</w:t>
      </w:r>
      <w:r w:rsidR="007748F5">
        <w:t xml:space="preserve"> </w:t>
      </w:r>
      <w:r w:rsidR="00990BA5">
        <w:t>write the following geometric relationships between distances and angles:</w:t>
      </w:r>
    </w:p>
    <w:p w:rsidR="00990BA5" w:rsidRDefault="00590895" w:rsidP="00F27DE9">
      <w:pPr>
        <w:spacing w:line="360" w:lineRule="auto"/>
        <w:jc w:val="center"/>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R</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2</m:t>
            </m:r>
          </m:sup>
        </m:sSup>
        <m:r>
          <w:rPr>
            <w:rFonts w:ascii="Cambria Math" w:hAnsi="Cambria Math"/>
          </w:rPr>
          <m:t xml:space="preserve">- 2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cos</m:t>
        </m:r>
        <m:sSub>
          <m:sSubPr>
            <m:ctrlPr>
              <w:rPr>
                <w:rFonts w:ascii="Cambria Math" w:hAnsi="Cambria Math"/>
                <w:i/>
              </w:rPr>
            </m:ctrlPr>
          </m:sSubPr>
          <m:e>
            <m:r>
              <w:rPr>
                <w:rFonts w:ascii="Cambria Math" w:hAnsi="Cambria Math"/>
              </w:rPr>
              <m:t>θ</m:t>
            </m:r>
          </m:e>
          <m:sub>
            <m:r>
              <w:rPr>
                <w:rFonts w:ascii="Cambria Math" w:hAnsi="Cambria Math"/>
              </w:rPr>
              <m:t>12</m:t>
            </m:r>
          </m:sub>
        </m:sSub>
      </m:oMath>
      <w:r w:rsidR="00990BA5">
        <w:rPr>
          <w:rFonts w:eastAsiaTheme="minorEastAsia"/>
        </w:rPr>
        <w:t xml:space="preserve">  (note: L</w:t>
      </w:r>
      <w:r w:rsidR="00990BA5">
        <w:rPr>
          <w:rFonts w:eastAsiaTheme="minorEastAsia"/>
          <w:vertAlign w:val="subscript"/>
        </w:rPr>
        <w:t>1</w:t>
      </w:r>
      <w:r w:rsidR="00990BA5">
        <w:rPr>
          <w:rFonts w:eastAsiaTheme="minorEastAsia"/>
        </w:rPr>
        <w:t xml:space="preserve"> , L</w:t>
      </w:r>
      <w:r w:rsidR="00990BA5">
        <w:rPr>
          <w:rFonts w:eastAsiaTheme="minorEastAsia"/>
          <w:vertAlign w:val="subscript"/>
        </w:rPr>
        <w:t>2</w:t>
      </w:r>
      <w:r w:rsidR="00990BA5">
        <w:rPr>
          <w:rFonts w:eastAsiaTheme="minorEastAsia"/>
        </w:rPr>
        <w:t xml:space="preserve"> and θ</w:t>
      </w:r>
      <w:r w:rsidR="00990BA5">
        <w:rPr>
          <w:rFonts w:eastAsiaTheme="minorEastAsia"/>
          <w:vertAlign w:val="subscript"/>
        </w:rPr>
        <w:t>12</w:t>
      </w:r>
      <w:r w:rsidR="00990BA5">
        <w:rPr>
          <w:rFonts w:eastAsiaTheme="minorEastAsia"/>
        </w:rPr>
        <w:t xml:space="preserve"> are not shown in the diagram)</w:t>
      </w:r>
    </w:p>
    <w:p w:rsidR="00F27DE9" w:rsidRDefault="00990BA5" w:rsidP="00F27DE9">
      <w:pPr>
        <w:spacing w:line="360" w:lineRule="auto"/>
        <w:rPr>
          <w:rFonts w:eastAsiaTheme="minorEastAsia"/>
        </w:rPr>
      </w:pPr>
      <w:r>
        <w:rPr>
          <w:rFonts w:eastAsiaTheme="minorEastAsia"/>
        </w:rPr>
        <w:t>We will create a virtual length called L</w:t>
      </w:r>
      <w:r>
        <w:rPr>
          <w:rFonts w:eastAsiaTheme="minorEastAsia"/>
          <w:vertAlign w:val="superscript"/>
        </w:rPr>
        <w:t>’</w:t>
      </w:r>
      <w:r>
        <w:rPr>
          <w:rFonts w:eastAsiaTheme="minorEastAsia"/>
          <w:vertAlign w:val="subscript"/>
        </w:rPr>
        <w:t>5</w:t>
      </w:r>
      <w:r w:rsidR="00F27DE9">
        <w:rPr>
          <w:rFonts w:eastAsiaTheme="minorEastAsia"/>
        </w:rPr>
        <w:t>:</w:t>
      </w:r>
    </w:p>
    <w:p w:rsidR="00990BA5" w:rsidRDefault="00990BA5" w:rsidP="00F27DE9">
      <w:pPr>
        <w:spacing w:line="360" w:lineRule="auto"/>
        <w:jc w:val="center"/>
        <w:rPr>
          <w:rFonts w:eastAsiaTheme="minorEastAsia"/>
        </w:rPr>
      </w:pPr>
      <w:r>
        <w:rPr>
          <w:rFonts w:eastAsiaTheme="minorEastAsia"/>
        </w:rPr>
        <w:t>L</w:t>
      </w:r>
      <w:r>
        <w:rPr>
          <w:rFonts w:eastAsiaTheme="minorEastAsia"/>
          <w:vertAlign w:val="superscript"/>
        </w:rPr>
        <w:t>’</w:t>
      </w:r>
      <w:r>
        <w:rPr>
          <w:rFonts w:eastAsiaTheme="minorEastAsia"/>
          <w:vertAlign w:val="subscript"/>
        </w:rPr>
        <w:t>5</w:t>
      </w:r>
      <w:r>
        <w:rPr>
          <w:rFonts w:eastAsiaTheme="minorEastAsia"/>
        </w:rPr>
        <w:t xml:space="preserve"> = L</w:t>
      </w:r>
      <w:r>
        <w:rPr>
          <w:rFonts w:eastAsiaTheme="minorEastAsia"/>
          <w:vertAlign w:val="subscript"/>
        </w:rPr>
        <w:t>5</w:t>
      </w:r>
      <w:r>
        <w:rPr>
          <w:rFonts w:eastAsiaTheme="minorEastAsia"/>
        </w:rPr>
        <w:t>cosθ</w:t>
      </w:r>
      <w:r>
        <w:rPr>
          <w:rFonts w:eastAsiaTheme="minorEastAsia"/>
          <w:vertAlign w:val="subscript"/>
        </w:rPr>
        <w:t>5</w:t>
      </w:r>
    </w:p>
    <w:p w:rsidR="00990BA5" w:rsidRDefault="00990BA5" w:rsidP="00990BA5">
      <w:pPr>
        <w:spacing w:line="360" w:lineRule="auto"/>
      </w:pPr>
      <w:r>
        <w:t>With that new virtual length, we can define the “reachable” length in the “z” and “y” directions stated above:</w:t>
      </w:r>
    </w:p>
    <w:p w:rsidR="00990BA5" w:rsidRPr="00990BA5" w:rsidRDefault="00990BA5" w:rsidP="00F27DE9">
      <w:pPr>
        <w:spacing w:line="360" w:lineRule="auto"/>
        <w:jc w:val="center"/>
      </w:pPr>
      <m:oMath>
        <m:r>
          <w:rPr>
            <w:rFonts w:ascii="Cambria Math" w:hAnsi="Cambria Math"/>
          </w:rPr>
          <m:t xml:space="preserve">z= </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5</m:t>
            </m:r>
          </m:sub>
        </m:sSub>
        <m:r>
          <m:rPr>
            <m:sty m:val="p"/>
          </m:rPr>
          <w:rPr>
            <w:rFonts w:ascii="Cambria Math" w:hAnsi="Cambria Math"/>
          </w:rPr>
          <m:t>cos⁡</m:t>
        </m:r>
        <m:r>
          <w:rPr>
            <w:rFonts w:ascii="Cambria Math" w:hAnsi="Cambria Math"/>
          </w:rPr>
          <m:t>(</m:t>
        </m:r>
      </m:oMath>
      <w:r>
        <w:rPr>
          <w:rFonts w:eastAsiaTheme="minorEastAsia"/>
        </w:rPr>
        <w:t xml:space="preserve">90 - </w:t>
      </w:r>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3-5</m:t>
            </m:r>
          </m:sub>
        </m:sSub>
      </m:oMath>
      <w:r w:rsidR="00F27DE9">
        <w:rPr>
          <w:rFonts w:eastAsiaTheme="minorEastAsia"/>
        </w:rPr>
        <w:t>)</w:t>
      </w:r>
    </w:p>
    <w:p w:rsidR="00F27DE9" w:rsidRPr="00990BA5" w:rsidRDefault="00F27DE9" w:rsidP="00F27DE9">
      <w:pPr>
        <w:spacing w:line="360" w:lineRule="auto"/>
        <w:jc w:val="center"/>
      </w:pPr>
      <m:oMath>
        <m:r>
          <w:rPr>
            <w:rFonts w:ascii="Cambria Math" w:hAnsi="Cambria Math"/>
          </w:rPr>
          <m:t>y=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5</m:t>
            </m:r>
          </m:sub>
        </m:sSub>
        <m:r>
          <m:rPr>
            <m:sty m:val="p"/>
          </m:rPr>
          <w:rPr>
            <w:rFonts w:ascii="Cambria Math" w:hAnsi="Cambria Math"/>
          </w:rPr>
          <m:t>cos⁡</m:t>
        </m:r>
        <m:r>
          <w:rPr>
            <w:rFonts w:ascii="Cambria Math" w:hAnsi="Cambria Math"/>
          </w:rPr>
          <m:t>(</m:t>
        </m:r>
      </m:oMath>
      <w:r>
        <w:rPr>
          <w:rFonts w:eastAsiaTheme="minorEastAsia"/>
        </w:rPr>
        <w:t xml:space="preserve">90 - </w:t>
      </w:r>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3-5</m:t>
            </m:r>
          </m:sub>
        </m:sSub>
      </m:oMath>
      <w:r>
        <w:rPr>
          <w:rFonts w:eastAsiaTheme="minorEastAsia"/>
        </w:rPr>
        <w:t>)</w:t>
      </w:r>
    </w:p>
    <w:p w:rsidR="00B87DD3" w:rsidRDefault="00B87DD3" w:rsidP="00061761">
      <w:pPr>
        <w:spacing w:line="360" w:lineRule="auto"/>
      </w:pPr>
      <w:r>
        <w:t xml:space="preserve">Since the “z” and “y” lengths described above are components of the R vector, we can compute the length of R simply </w:t>
      </w:r>
      <w:r w:rsidR="00061761">
        <w:t>as follows:</w:t>
      </w:r>
    </w:p>
    <w:p w:rsidR="00B87DD3" w:rsidRPr="008211C6" w:rsidRDefault="00B87DD3" w:rsidP="00B87DD3">
      <w:pPr>
        <w:spacing w:line="360" w:lineRule="auto"/>
      </w:pPr>
      <m:oMathPara>
        <m:oMath>
          <m:r>
            <w:rPr>
              <w:rFonts w:ascii="Cambria Math" w:hAnsi="Cambria Math"/>
            </w:rPr>
            <m:t xml:space="preserve">R=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rsidR="008211C6" w:rsidRDefault="00061761" w:rsidP="008211C6">
      <w:pPr>
        <w:spacing w:line="360" w:lineRule="auto"/>
        <w:rPr>
          <w:color w:val="FF0000"/>
        </w:rPr>
      </w:pPr>
      <w:r>
        <w:rPr>
          <w:color w:val="FF0000"/>
        </w:rPr>
        <w:t>R is the range vector which characterizes the size of the workable area in our analysis.</w:t>
      </w:r>
    </w:p>
    <w:p w:rsidR="00061761" w:rsidRPr="00061761" w:rsidRDefault="00061761" w:rsidP="008211C6">
      <w:pPr>
        <w:spacing w:line="360" w:lineRule="auto"/>
        <w:rPr>
          <w:color w:val="FF0000"/>
        </w:rPr>
      </w:pPr>
    </w:p>
    <w:p w:rsidR="00DB7145" w:rsidRDefault="00061761" w:rsidP="00DB7145">
      <w:pPr>
        <w:spacing w:line="360" w:lineRule="auto"/>
      </w:pPr>
      <w:r w:rsidRPr="00061761">
        <w:rPr>
          <w:color w:val="FF0000"/>
        </w:rPr>
        <w:t>Knowing the mathematical relationship between link lengths (sizes) and workable area, our task is to find an optimized combination, which give</w:t>
      </w:r>
      <w:r w:rsidR="00D00F65">
        <w:rPr>
          <w:color w:val="FF0000"/>
        </w:rPr>
        <w:t>s</w:t>
      </w:r>
      <w:r w:rsidRPr="00061761">
        <w:rPr>
          <w:color w:val="FF0000"/>
        </w:rPr>
        <w:t xml:space="preserve"> us bot</w:t>
      </w:r>
      <w:r w:rsidR="00D00F65">
        <w:rPr>
          <w:color w:val="FF0000"/>
        </w:rPr>
        <w:t xml:space="preserve">h a satisfactory workable area </w:t>
      </w:r>
      <w:r w:rsidRPr="00061761">
        <w:rPr>
          <w:color w:val="FF0000"/>
        </w:rPr>
        <w:t>and a reasonable size and weight for the device.</w:t>
      </w:r>
      <w:r>
        <w:t xml:space="preserve"> </w:t>
      </w:r>
      <w:r w:rsidR="00DB7145" w:rsidRPr="00DB7145">
        <w:rPr>
          <w:color w:val="FF0000"/>
        </w:rPr>
        <w:t>We do so with an excel spreadsheet. We insert the variables and equations above into the spreadsheet, and observe the change in workable area based on links 1 and 2. It is known that the workable area increases with increasing link sizes, however, our goal was to pinpoint the “plateau” of the relationship. The spreadsheet allowed us to quickly and accurately calculate the minimum and maximum radius values, along with the full range, with different combinations of theta values. An example is given below.</w:t>
      </w:r>
    </w:p>
    <w:tbl>
      <w:tblPr>
        <w:tblW w:w="6260" w:type="dxa"/>
        <w:jc w:val="center"/>
        <w:tblInd w:w="92" w:type="dxa"/>
        <w:tblLook w:val="04A0"/>
      </w:tblPr>
      <w:tblGrid>
        <w:gridCol w:w="993"/>
        <w:gridCol w:w="1053"/>
        <w:gridCol w:w="960"/>
        <w:gridCol w:w="960"/>
        <w:gridCol w:w="1570"/>
        <w:gridCol w:w="960"/>
      </w:tblGrid>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Link</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Length</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Theta_12_min</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30</w:t>
            </w: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1</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7</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Theta_12_max</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120</w:t>
            </w: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2</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7</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Theta_5_max</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45</w:t>
            </w: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3</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5</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Theta_3</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20</w:t>
            </w: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4</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5</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Theta_35</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-15</w:t>
            </w: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5</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7</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r_min</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1.740303</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lastRenderedPageBreak/>
              <w:t>r_max</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9.910691</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r>
      <w:tr w:rsidR="00DB7145" w:rsidRPr="0003278A" w:rsidTr="00453662">
        <w:trPr>
          <w:trHeight w:val="300"/>
          <w:jc w:val="center"/>
        </w:trPr>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b/>
                <w:bCs/>
                <w:color w:val="000000"/>
                <w:lang w:bidi="ar-SA"/>
              </w:rPr>
            </w:pPr>
            <w:r w:rsidRPr="0003278A">
              <w:rPr>
                <w:rFonts w:ascii="Calibri" w:eastAsia="Times New Roman" w:hAnsi="Calibri" w:cs="Times New Roman"/>
                <w:b/>
                <w:bCs/>
                <w:color w:val="000000"/>
                <w:lang w:bidi="ar-SA"/>
              </w:rPr>
              <w:t>Range_x</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jc w:val="right"/>
              <w:rPr>
                <w:rFonts w:ascii="Calibri" w:eastAsia="Times New Roman" w:hAnsi="Calibri" w:cs="Times New Roman"/>
                <w:color w:val="000000"/>
                <w:lang w:bidi="ar-SA"/>
              </w:rPr>
            </w:pPr>
            <w:r w:rsidRPr="0003278A">
              <w:rPr>
                <w:rFonts w:ascii="Calibri" w:eastAsia="Times New Roman" w:hAnsi="Calibri" w:cs="Times New Roman"/>
                <w:color w:val="000000"/>
                <w:lang w:bidi="ar-SA"/>
              </w:rPr>
              <w:t>9.899495</w:t>
            </w: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14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c>
          <w:tcPr>
            <w:tcW w:w="960" w:type="dxa"/>
            <w:tcBorders>
              <w:top w:val="nil"/>
              <w:left w:val="nil"/>
              <w:bottom w:val="nil"/>
              <w:right w:val="nil"/>
            </w:tcBorders>
            <w:shd w:val="clear" w:color="auto" w:fill="auto"/>
            <w:noWrap/>
            <w:vAlign w:val="bottom"/>
            <w:hideMark/>
          </w:tcPr>
          <w:p w:rsidR="00DB7145" w:rsidRPr="0003278A" w:rsidRDefault="00DB7145" w:rsidP="00453662">
            <w:pPr>
              <w:ind w:firstLine="0"/>
              <w:rPr>
                <w:rFonts w:ascii="Calibri" w:eastAsia="Times New Roman" w:hAnsi="Calibri" w:cs="Times New Roman"/>
                <w:color w:val="000000"/>
                <w:lang w:bidi="ar-SA"/>
              </w:rPr>
            </w:pPr>
          </w:p>
        </w:tc>
      </w:tr>
    </w:tbl>
    <w:p w:rsidR="00DB7145" w:rsidRDefault="00DB7145" w:rsidP="00DB7145">
      <w:pPr>
        <w:spacing w:line="360" w:lineRule="auto"/>
      </w:pPr>
    </w:p>
    <w:p w:rsidR="00DB7145" w:rsidRDefault="00DB7145" w:rsidP="00C7356C">
      <w:pPr>
        <w:spacing w:line="360" w:lineRule="auto"/>
      </w:pPr>
      <w:r w:rsidRPr="00DB7145">
        <w:rPr>
          <w:color w:val="FF0000"/>
        </w:rPr>
        <w:t>By inserting various combinations of link sizes into the spreadsheet, we observed a preliminary viable option. It gave</w:t>
      </w:r>
      <w:r w:rsidR="000E46A5" w:rsidRPr="00DB7145">
        <w:rPr>
          <w:color w:val="FF0000"/>
        </w:rPr>
        <w:t xml:space="preserve"> us a large workable area while not overly extending the length of the links, </w:t>
      </w:r>
      <w:r w:rsidRPr="00DB7145">
        <w:rPr>
          <w:color w:val="FF0000"/>
        </w:rPr>
        <w:t>and happened when</w:t>
      </w:r>
      <w:r w:rsidR="000E46A5" w:rsidRPr="00DB7145">
        <w:rPr>
          <w:color w:val="FF0000"/>
        </w:rPr>
        <w:t xml:space="preserve"> both links 1 and 2 are equal in length and measure 7 cm.</w:t>
      </w:r>
      <w:r w:rsidRPr="00DB7145">
        <w:rPr>
          <w:color w:val="FF0000"/>
        </w:rPr>
        <w:t xml:space="preserve"> Our next task was to perform a sensitivity analysis and verificati</w:t>
      </w:r>
      <w:r w:rsidR="00C7356C">
        <w:rPr>
          <w:color w:val="FF0000"/>
        </w:rPr>
        <w:t>on of</w:t>
      </w:r>
      <w:r w:rsidRPr="00DB7145">
        <w:rPr>
          <w:color w:val="FF0000"/>
        </w:rPr>
        <w:t xml:space="preserve"> this preliminary result, and we did </w:t>
      </w:r>
      <w:r w:rsidR="00C7356C">
        <w:rPr>
          <w:color w:val="FF0000"/>
        </w:rPr>
        <w:t xml:space="preserve">that </w:t>
      </w:r>
      <w:r w:rsidRPr="00DB7145">
        <w:rPr>
          <w:color w:val="FF0000"/>
        </w:rPr>
        <w:t>using Matlab</w:t>
      </w:r>
      <w:r>
        <w:t xml:space="preserve">. </w:t>
      </w:r>
    </w:p>
    <w:p w:rsidR="00E85F94" w:rsidRDefault="00DB7145" w:rsidP="00DB7145">
      <w:pPr>
        <w:spacing w:line="360" w:lineRule="auto"/>
      </w:pPr>
      <w:r>
        <w:t xml:space="preserve">First, </w:t>
      </w:r>
      <w:r w:rsidR="0056009B">
        <w:t>we plot</w:t>
      </w:r>
      <w:r>
        <w:t>ted</w:t>
      </w:r>
      <w:r w:rsidR="0056009B">
        <w:t xml:space="preserve"> the combined weight of 7 links versus the length of each link. This is done by assuming a rectangular slab for each link and the following formula:</w:t>
      </w:r>
    </w:p>
    <w:p w:rsidR="00DB7145" w:rsidRDefault="00DB7145" w:rsidP="00DB7145">
      <w:pPr>
        <w:spacing w:line="360" w:lineRule="auto"/>
      </w:pPr>
    </w:p>
    <w:p w:rsidR="0056009B" w:rsidRDefault="00E85F94" w:rsidP="00DB7145">
      <w:pPr>
        <w:spacing w:line="360" w:lineRule="auto"/>
        <w:ind w:firstLine="0"/>
        <w:jc w:val="center"/>
        <w:rPr>
          <w:rFonts w:eastAsiaTheme="minorEastAsia"/>
        </w:rPr>
      </w:pPr>
      <m:oMathPara>
        <m:oMath>
          <m:r>
            <w:rPr>
              <w:rFonts w:ascii="Cambria Math" w:hAnsi="Cambria Math"/>
            </w:rPr>
            <m:t>W=7*</m:t>
          </m:r>
          <m:d>
            <m:dPr>
              <m:ctrlPr>
                <w:rPr>
                  <w:rFonts w:ascii="Cambria Math" w:hAnsi="Cambria Math"/>
                  <w:i/>
                </w:rPr>
              </m:ctrlPr>
            </m:dPr>
            <m:e>
              <m:r>
                <w:rPr>
                  <w:rFonts w:ascii="Cambria Math" w:hAnsi="Cambria Math"/>
                </w:rPr>
                <m:t>Link Length</m:t>
              </m:r>
            </m:e>
          </m:d>
          <m:d>
            <m:dPr>
              <m:ctrlPr>
                <w:rPr>
                  <w:rFonts w:ascii="Cambria Math" w:hAnsi="Cambria Math"/>
                  <w:i/>
                </w:rPr>
              </m:ctrlPr>
            </m:dPr>
            <m:e>
              <m:r>
                <w:rPr>
                  <w:rFonts w:ascii="Cambria Math" w:hAnsi="Cambria Math"/>
                </w:rPr>
                <m:t>2cm</m:t>
              </m:r>
            </m:e>
          </m:d>
          <m:d>
            <m:dPr>
              <m:ctrlPr>
                <w:rPr>
                  <w:rFonts w:ascii="Cambria Math" w:hAnsi="Cambria Math"/>
                  <w:i/>
                </w:rPr>
              </m:ctrlPr>
            </m:dPr>
            <m:e>
              <m:r>
                <w:rPr>
                  <w:rFonts w:ascii="Cambria Math" w:hAnsi="Cambria Math"/>
                </w:rPr>
                <m:t>1cm</m:t>
              </m:r>
            </m:e>
          </m:d>
          <m:d>
            <m:dPr>
              <m:ctrlPr>
                <w:rPr>
                  <w:rFonts w:ascii="Cambria Math" w:hAnsi="Cambria Math"/>
                  <w:i/>
                </w:rPr>
              </m:ctrlPr>
            </m:dPr>
            <m:e>
              <m:r>
                <w:rPr>
                  <w:rFonts w:ascii="Cambria Math" w:hAnsi="Cambria Math"/>
                </w:rPr>
                <m:t>8.03</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e>
          </m:d>
          <m:r>
            <w:rPr>
              <w:rFonts w:ascii="Cambria Math" w:hAnsi="Cambria Math"/>
            </w:rPr>
            <m:t>(.0022046</m:t>
          </m:r>
          <m:f>
            <m:fPr>
              <m:ctrlPr>
                <w:rPr>
                  <w:rFonts w:ascii="Cambria Math" w:hAnsi="Cambria Math"/>
                  <w:i/>
                </w:rPr>
              </m:ctrlPr>
            </m:fPr>
            <m:num>
              <m:r>
                <w:rPr>
                  <w:rFonts w:ascii="Cambria Math" w:hAnsi="Cambria Math"/>
                </w:rPr>
                <m:t>lb</m:t>
              </m:r>
            </m:num>
            <m:den>
              <m:r>
                <w:rPr>
                  <w:rFonts w:ascii="Cambria Math" w:hAnsi="Cambria Math"/>
                </w:rPr>
                <m:t>g</m:t>
              </m:r>
            </m:den>
          </m:f>
          <m:r>
            <w:rPr>
              <w:rFonts w:ascii="Cambria Math" w:hAnsi="Cambria Math"/>
            </w:rPr>
            <m:t>)</m:t>
          </m:r>
        </m:oMath>
      </m:oMathPara>
    </w:p>
    <w:p w:rsidR="00E85F94" w:rsidRDefault="00E85F94" w:rsidP="0056009B">
      <w:pPr>
        <w:spacing w:line="360" w:lineRule="auto"/>
        <w:rPr>
          <w:rFonts w:eastAsiaTheme="minorEastAsia"/>
        </w:rPr>
      </w:pPr>
    </w:p>
    <w:p w:rsidR="00DB7145" w:rsidRDefault="00DB7145" w:rsidP="0056009B">
      <w:pPr>
        <w:spacing w:line="360" w:lineRule="auto"/>
        <w:rPr>
          <w:rFonts w:eastAsiaTheme="minorEastAsia"/>
        </w:rPr>
      </w:pPr>
    </w:p>
    <w:p w:rsidR="00E85F94" w:rsidRDefault="00E85F94" w:rsidP="0056009B">
      <w:pPr>
        <w:spacing w:line="360" w:lineRule="auto"/>
        <w:rPr>
          <w:rFonts w:eastAsiaTheme="minorEastAsia"/>
        </w:rPr>
      </w:pPr>
      <w:r>
        <w:rPr>
          <w:rFonts w:eastAsiaTheme="minorEastAsia"/>
          <w:noProof/>
          <w:lang w:bidi="ar-SA"/>
        </w:rPr>
        <w:drawing>
          <wp:anchor distT="0" distB="0" distL="114300" distR="114300" simplePos="0" relativeHeight="251725824" behindDoc="1" locked="0" layoutInCell="1" allowOverlap="1">
            <wp:simplePos x="0" y="0"/>
            <wp:positionH relativeFrom="column">
              <wp:posOffset>1014730</wp:posOffset>
            </wp:positionH>
            <wp:positionV relativeFrom="paragraph">
              <wp:posOffset>-411480</wp:posOffset>
            </wp:positionV>
            <wp:extent cx="3623945" cy="2717800"/>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623945" cy="2717800"/>
                    </a:xfrm>
                    <a:prstGeom prst="rect">
                      <a:avLst/>
                    </a:prstGeom>
                    <a:noFill/>
                    <a:ln w="9525">
                      <a:noFill/>
                      <a:miter lim="800000"/>
                      <a:headEnd/>
                      <a:tailEnd/>
                    </a:ln>
                  </pic:spPr>
                </pic:pic>
              </a:graphicData>
            </a:graphic>
          </wp:anchor>
        </w:drawing>
      </w:r>
    </w:p>
    <w:p w:rsidR="00E85F94" w:rsidRDefault="00E85F94" w:rsidP="0056009B">
      <w:pPr>
        <w:spacing w:line="360" w:lineRule="auto"/>
        <w:rPr>
          <w:rFonts w:eastAsiaTheme="minorEastAsia"/>
        </w:rPr>
      </w:pPr>
    </w:p>
    <w:p w:rsidR="00E85F94" w:rsidRDefault="00590895" w:rsidP="0056009B">
      <w:pPr>
        <w:spacing w:line="360" w:lineRule="auto"/>
        <w:rPr>
          <w:rFonts w:eastAsiaTheme="minorEastAsia"/>
        </w:rPr>
      </w:pPr>
      <w:r>
        <w:rPr>
          <w:rFonts w:eastAsiaTheme="minorEastAsia"/>
          <w:noProof/>
          <w:lang w:bidi="ar-SA"/>
        </w:rPr>
        <w:pict>
          <v:group id="_x0000_s1090" style="position:absolute;left:0;text-align:left;margin-left:122.2pt;margin-top:14.55pt;width:121.55pt;height:99.75pt;z-index:251724800" coordorigin="4399,3395" coordsize="2431,1995">
            <v:shape id="_x0000_s1088" type="#_x0000_t32" style="position:absolute;left:4399;top:3395;width:2418;height:0" o:connectortype="straight">
              <v:stroke dashstyle="dashDot"/>
            </v:shape>
            <v:shape id="_x0000_s1089" type="#_x0000_t32" style="position:absolute;left:6817;top:3395;width:13;height:1995;flip:x" o:connectortype="straight">
              <v:stroke dashstyle="dashDot"/>
            </v:shape>
          </v:group>
        </w:pict>
      </w:r>
    </w:p>
    <w:p w:rsidR="00E85F94" w:rsidRDefault="00E85F94" w:rsidP="0056009B">
      <w:pPr>
        <w:spacing w:line="360" w:lineRule="auto"/>
        <w:rPr>
          <w:rFonts w:eastAsiaTheme="minorEastAsia"/>
        </w:rPr>
      </w:pPr>
    </w:p>
    <w:p w:rsidR="00E85F94" w:rsidRDefault="00E85F94" w:rsidP="0056009B">
      <w:pPr>
        <w:spacing w:line="360" w:lineRule="auto"/>
        <w:rPr>
          <w:rFonts w:eastAsiaTheme="minorEastAsia"/>
        </w:rPr>
      </w:pPr>
    </w:p>
    <w:p w:rsidR="00E85F94" w:rsidRDefault="00E85F94" w:rsidP="0056009B">
      <w:pPr>
        <w:spacing w:line="360" w:lineRule="auto"/>
        <w:rPr>
          <w:rFonts w:eastAsiaTheme="minorEastAsia"/>
        </w:rPr>
      </w:pPr>
    </w:p>
    <w:p w:rsidR="00E85F94" w:rsidRDefault="00E85F94" w:rsidP="0056009B">
      <w:pPr>
        <w:spacing w:line="360" w:lineRule="auto"/>
        <w:rPr>
          <w:rFonts w:eastAsiaTheme="minorEastAsia"/>
        </w:rPr>
      </w:pPr>
    </w:p>
    <w:p w:rsidR="00E85F94" w:rsidRDefault="00E85F94" w:rsidP="0056009B">
      <w:pPr>
        <w:spacing w:line="360" w:lineRule="auto"/>
        <w:rPr>
          <w:rFonts w:eastAsiaTheme="minorEastAsia"/>
        </w:rPr>
      </w:pPr>
    </w:p>
    <w:p w:rsidR="00E85F94" w:rsidRDefault="00E85F94" w:rsidP="00E85F94">
      <w:pPr>
        <w:pStyle w:val="Caption"/>
        <w:jc w:val="center"/>
        <w:rPr>
          <w:rFonts w:eastAsiaTheme="minorEastAsia"/>
          <w:b w:val="0"/>
          <w:bCs w:val="0"/>
          <w:color w:val="auto"/>
          <w:sz w:val="22"/>
          <w:szCs w:val="22"/>
        </w:rPr>
      </w:pPr>
    </w:p>
    <w:p w:rsidR="00E85F94" w:rsidRDefault="00E85F94" w:rsidP="00E85F94">
      <w:pPr>
        <w:pStyle w:val="Caption"/>
        <w:ind w:firstLine="0"/>
        <w:jc w:val="center"/>
        <w:rPr>
          <w:rFonts w:eastAsiaTheme="minorEastAsia"/>
        </w:rPr>
      </w:pPr>
      <w:r>
        <w:t xml:space="preserve">Figure </w:t>
      </w:r>
      <w:fldSimple w:instr=" SEQ Figure \* ARABIC ">
        <w:r>
          <w:rPr>
            <w:noProof/>
          </w:rPr>
          <w:t>1</w:t>
        </w:r>
      </w:fldSimple>
      <w:r>
        <w:t>: Weight (lb) vs. Link Length (cm)</w:t>
      </w:r>
    </w:p>
    <w:p w:rsidR="0056009B" w:rsidRDefault="0056009B" w:rsidP="00D00F65">
      <w:pPr>
        <w:spacing w:line="360" w:lineRule="auto"/>
        <w:rPr>
          <w:rFonts w:eastAsiaTheme="minorEastAsia"/>
        </w:rPr>
      </w:pPr>
      <w:r>
        <w:rPr>
          <w:rFonts w:eastAsiaTheme="minorEastAsia"/>
        </w:rPr>
        <w:t>Based on the user satisfaction curve vs. the device total weight, we should not go beyond 5 lb for the device as a whole. Thus, the links alone, without the motors, encoders and other equipment, should not be more than approximately 2 lb – corresponding to around a 7 cm link length</w:t>
      </w:r>
      <w:r w:rsidR="00D00F65">
        <w:rPr>
          <w:rFonts w:eastAsiaTheme="minorEastAsia"/>
          <w:color w:val="FF0000"/>
        </w:rPr>
        <w:t>. This verifies</w:t>
      </w:r>
      <w:r w:rsidR="00C7356C" w:rsidRPr="00C7356C">
        <w:rPr>
          <w:rFonts w:eastAsiaTheme="minorEastAsia"/>
          <w:color w:val="FF0000"/>
        </w:rPr>
        <w:t xml:space="preserve"> that the preliminary result of a 7 cm link size does not conflict our weight requirements.</w:t>
      </w:r>
      <w:r w:rsidRPr="00C7356C">
        <w:rPr>
          <w:rFonts w:eastAsiaTheme="minorEastAsia"/>
          <w:color w:val="FF0000"/>
        </w:rPr>
        <w:t xml:space="preserve"> </w:t>
      </w:r>
      <w:r w:rsidR="00C7356C" w:rsidRPr="00C7356C">
        <w:rPr>
          <w:rFonts w:eastAsiaTheme="minorEastAsia"/>
          <w:color w:val="FF0000"/>
        </w:rPr>
        <w:t>However, w</w:t>
      </w:r>
      <w:r w:rsidRPr="00C7356C">
        <w:rPr>
          <w:rFonts w:eastAsiaTheme="minorEastAsia"/>
          <w:color w:val="FF0000"/>
        </w:rPr>
        <w:t>e</w:t>
      </w:r>
      <w:r w:rsidR="00C7356C" w:rsidRPr="00C7356C">
        <w:rPr>
          <w:rFonts w:eastAsiaTheme="minorEastAsia"/>
          <w:color w:val="FF0000"/>
        </w:rPr>
        <w:t xml:space="preserve"> must still check whether it conflicts with our workable area requirements.</w:t>
      </w:r>
      <w:r w:rsidRPr="00C7356C">
        <w:rPr>
          <w:rFonts w:eastAsiaTheme="minorEastAsia"/>
          <w:color w:val="FF0000"/>
        </w:rPr>
        <w:t xml:space="preserve"> </w:t>
      </w:r>
      <w:r w:rsidR="00C7356C" w:rsidRPr="00C7356C">
        <w:rPr>
          <w:rFonts w:eastAsiaTheme="minorEastAsia"/>
          <w:color w:val="FF0000"/>
        </w:rPr>
        <w:t xml:space="preserve">To </w:t>
      </w:r>
      <w:r w:rsidRPr="00C7356C">
        <w:rPr>
          <w:rFonts w:eastAsiaTheme="minorEastAsia"/>
          <w:color w:val="FF0000"/>
        </w:rPr>
        <w:t>chec</w:t>
      </w:r>
      <w:r w:rsidR="00E85F94" w:rsidRPr="00C7356C">
        <w:rPr>
          <w:rFonts w:eastAsiaTheme="minorEastAsia"/>
          <w:color w:val="FF0000"/>
        </w:rPr>
        <w:t xml:space="preserve">k that the link lengths </w:t>
      </w:r>
      <w:r w:rsidR="00C7356C" w:rsidRPr="00C7356C">
        <w:rPr>
          <w:rFonts w:eastAsiaTheme="minorEastAsia"/>
          <w:color w:val="FF0000"/>
        </w:rPr>
        <w:t xml:space="preserve">which fall below </w:t>
      </w:r>
      <w:r w:rsidR="00E85F94" w:rsidRPr="00C7356C">
        <w:rPr>
          <w:rFonts w:eastAsiaTheme="minorEastAsia"/>
          <w:color w:val="FF0000"/>
        </w:rPr>
        <w:t xml:space="preserve">the maximum acceptable weight also give </w:t>
      </w:r>
      <w:r w:rsidR="00C7356C" w:rsidRPr="00C7356C">
        <w:rPr>
          <w:rFonts w:eastAsiaTheme="minorEastAsia"/>
          <w:color w:val="FF0000"/>
        </w:rPr>
        <w:t xml:space="preserve">us an acceptable workable area, we plot the </w:t>
      </w:r>
      <w:r w:rsidR="00D00F65">
        <w:rPr>
          <w:rFonts w:eastAsiaTheme="minorEastAsia"/>
          <w:color w:val="FF0000"/>
        </w:rPr>
        <w:t>mathematical range</w:t>
      </w:r>
      <w:r w:rsidR="00C7356C" w:rsidRPr="00C7356C">
        <w:rPr>
          <w:rFonts w:eastAsiaTheme="minorEastAsia"/>
          <w:color w:val="FF0000"/>
        </w:rPr>
        <w:t xml:space="preserve"> relationship in Matlab. The following worka</w:t>
      </w:r>
      <w:r w:rsidR="00E85F94" w:rsidRPr="00C7356C">
        <w:rPr>
          <w:rFonts w:eastAsiaTheme="minorEastAsia"/>
          <w:color w:val="FF0000"/>
        </w:rPr>
        <w:t>ble area relations</w:t>
      </w:r>
      <w:r w:rsidR="00C7356C" w:rsidRPr="00C7356C">
        <w:rPr>
          <w:rFonts w:eastAsiaTheme="minorEastAsia"/>
          <w:color w:val="FF0000"/>
        </w:rPr>
        <w:t xml:space="preserve"> are entered</w:t>
      </w:r>
      <w:r w:rsidR="00E85F94" w:rsidRPr="00C7356C">
        <w:rPr>
          <w:rFonts w:eastAsiaTheme="minorEastAsia"/>
          <w:color w:val="FF0000"/>
        </w:rPr>
        <w:t>:</w:t>
      </w:r>
      <w:r w:rsidR="00E85F94" w:rsidRPr="00E85F94">
        <w:rPr>
          <w:rFonts w:eastAsiaTheme="minorEastAsia"/>
          <w:noProof/>
          <w:lang w:bidi="ar-SA"/>
        </w:rPr>
        <w:t xml:space="preserve"> </w:t>
      </w:r>
    </w:p>
    <w:p w:rsidR="00E85F94" w:rsidRDefault="00590895" w:rsidP="00E85F94">
      <w:pPr>
        <w:ind w:firstLine="0"/>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R</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2</m:t>
              </m:r>
            </m:sup>
          </m:sSup>
          <m:r>
            <w:rPr>
              <w:rFonts w:ascii="Cambria Math" w:hAnsi="Cambria Math"/>
            </w:rPr>
            <m:t xml:space="preserve">- 2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cos</m:t>
          </m:r>
          <m:sSub>
            <m:sSubPr>
              <m:ctrlPr>
                <w:rPr>
                  <w:rFonts w:ascii="Cambria Math" w:hAnsi="Cambria Math"/>
                  <w:i/>
                </w:rPr>
              </m:ctrlPr>
            </m:sSubPr>
            <m:e>
              <m:r>
                <w:rPr>
                  <w:rFonts w:ascii="Cambria Math" w:hAnsi="Cambria Math"/>
                </w:rPr>
                <m:t>θ</m:t>
              </m:r>
            </m:e>
            <m:sub>
              <m:r>
                <w:rPr>
                  <w:rFonts w:ascii="Cambria Math" w:hAnsi="Cambria Math"/>
                </w:rPr>
                <m:t>12</m:t>
              </m:r>
            </m:sub>
          </m:sSub>
        </m:oMath>
      </m:oMathPara>
    </w:p>
    <w:p w:rsidR="00E85F94" w:rsidRDefault="00E85F94" w:rsidP="00E85F94">
      <w:pPr>
        <w:ind w:firstLine="0"/>
        <w:jc w:val="center"/>
      </w:pPr>
    </w:p>
    <w:p w:rsidR="00E85F94" w:rsidRPr="00E85F94" w:rsidRDefault="00E85F94" w:rsidP="00E85F94">
      <w:pPr>
        <w:spacing w:line="360" w:lineRule="auto"/>
        <w:ind w:firstLine="0"/>
        <w:jc w:val="center"/>
        <w:rPr>
          <w:rFonts w:eastAsiaTheme="minorEastAsia"/>
          <w:vertAlign w:val="subscript"/>
        </w:rPr>
      </w:pPr>
      <w:r>
        <w:rPr>
          <w:rFonts w:eastAsiaTheme="minorEastAsia"/>
        </w:rPr>
        <w:lastRenderedPageBreak/>
        <w:t>L</w:t>
      </w:r>
      <w:r>
        <w:rPr>
          <w:rFonts w:eastAsiaTheme="minorEastAsia"/>
          <w:vertAlign w:val="superscript"/>
        </w:rPr>
        <w:t>’</w:t>
      </w:r>
      <w:r>
        <w:rPr>
          <w:rFonts w:eastAsiaTheme="minorEastAsia"/>
          <w:vertAlign w:val="subscript"/>
        </w:rPr>
        <w:t>5</w:t>
      </w:r>
      <w:r>
        <w:rPr>
          <w:rFonts w:eastAsiaTheme="minorEastAsia"/>
        </w:rPr>
        <w:t xml:space="preserve"> = L</w:t>
      </w:r>
      <w:r>
        <w:rPr>
          <w:rFonts w:eastAsiaTheme="minorEastAsia"/>
          <w:vertAlign w:val="subscript"/>
        </w:rPr>
        <w:t>5</w:t>
      </w:r>
      <w:r>
        <w:rPr>
          <w:rFonts w:eastAsiaTheme="minorEastAsia"/>
        </w:rPr>
        <w:t>cosθ</w:t>
      </w:r>
      <w:r>
        <w:rPr>
          <w:rFonts w:eastAsiaTheme="minorEastAsia"/>
          <w:vertAlign w:val="subscript"/>
        </w:rPr>
        <w:t>5</w:t>
      </w:r>
    </w:p>
    <w:p w:rsidR="00E85F94" w:rsidRPr="00990BA5" w:rsidRDefault="00E85F94" w:rsidP="00E85F94">
      <w:pPr>
        <w:spacing w:line="360" w:lineRule="auto"/>
        <w:ind w:firstLine="0"/>
        <w:jc w:val="center"/>
      </w:pPr>
      <m:oMath>
        <m:r>
          <w:rPr>
            <w:rFonts w:ascii="Cambria Math" w:hAnsi="Cambria Math"/>
          </w:rPr>
          <m:t xml:space="preserve">z= </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5</m:t>
            </m:r>
          </m:sub>
        </m:sSub>
        <m:r>
          <m:rPr>
            <m:sty m:val="p"/>
          </m:rPr>
          <w:rPr>
            <w:rFonts w:ascii="Cambria Math" w:hAnsi="Cambria Math"/>
          </w:rPr>
          <m:t>cos⁡</m:t>
        </m:r>
        <m:r>
          <w:rPr>
            <w:rFonts w:ascii="Cambria Math" w:hAnsi="Cambria Math"/>
          </w:rPr>
          <m:t>(</m:t>
        </m:r>
      </m:oMath>
      <w:r>
        <w:rPr>
          <w:rFonts w:eastAsiaTheme="minorEastAsia"/>
        </w:rPr>
        <w:t xml:space="preserve">90 - </w:t>
      </w:r>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3-5</m:t>
            </m:r>
          </m:sub>
        </m:sSub>
      </m:oMath>
      <w:r>
        <w:rPr>
          <w:rFonts w:eastAsiaTheme="minorEastAsia"/>
        </w:rPr>
        <w:t>)</w:t>
      </w:r>
    </w:p>
    <w:p w:rsidR="00E85F94" w:rsidRDefault="00E85F94" w:rsidP="00E85F94">
      <w:pPr>
        <w:spacing w:line="360" w:lineRule="auto"/>
        <w:ind w:firstLine="0"/>
        <w:jc w:val="center"/>
        <w:rPr>
          <w:rFonts w:eastAsiaTheme="minorEastAsia"/>
        </w:rPr>
      </w:pPr>
      <m:oMath>
        <m:r>
          <w:rPr>
            <w:rFonts w:ascii="Cambria Math" w:hAnsi="Cambria Math"/>
          </w:rPr>
          <m:t>y=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5</m:t>
            </m:r>
          </m:sub>
        </m:sSub>
        <m:r>
          <m:rPr>
            <m:sty m:val="p"/>
          </m:rPr>
          <w:rPr>
            <w:rFonts w:ascii="Cambria Math" w:hAnsi="Cambria Math"/>
          </w:rPr>
          <m:t>cos⁡</m:t>
        </m:r>
        <m:r>
          <w:rPr>
            <w:rFonts w:ascii="Cambria Math" w:hAnsi="Cambria Math"/>
          </w:rPr>
          <m:t>(</m:t>
        </m:r>
      </m:oMath>
      <w:r>
        <w:rPr>
          <w:rFonts w:eastAsiaTheme="minorEastAsia"/>
        </w:rPr>
        <w:t xml:space="preserve">90 - </w:t>
      </w:r>
      <m:oMath>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3-5</m:t>
            </m:r>
          </m:sub>
        </m:sSub>
      </m:oMath>
      <w:r>
        <w:rPr>
          <w:rFonts w:eastAsiaTheme="minorEastAsia"/>
        </w:rPr>
        <w:t>)</w:t>
      </w:r>
    </w:p>
    <w:p w:rsidR="00E85F94" w:rsidRPr="00E85F94" w:rsidRDefault="00E85F94" w:rsidP="00E85F94">
      <w:pPr>
        <w:spacing w:line="360" w:lineRule="auto"/>
        <w:ind w:firstLine="0"/>
        <w:jc w:val="center"/>
        <w:rPr>
          <w:sz w:val="10"/>
          <w:szCs w:val="10"/>
        </w:rPr>
      </w:pPr>
    </w:p>
    <w:p w:rsidR="00E85F94" w:rsidRPr="008211C6" w:rsidRDefault="00E85F94" w:rsidP="00E85F94">
      <w:pPr>
        <w:spacing w:line="360" w:lineRule="auto"/>
        <w:ind w:firstLine="0"/>
        <w:jc w:val="center"/>
      </w:pPr>
      <m:oMathPara>
        <m:oMath>
          <m:r>
            <w:rPr>
              <w:rFonts w:ascii="Cambria Math" w:hAnsi="Cambria Math"/>
            </w:rPr>
            <m:t xml:space="preserve">R=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rsidR="00E85F94" w:rsidRDefault="00E85F94" w:rsidP="00A155BC">
      <w:pPr>
        <w:spacing w:line="360" w:lineRule="auto"/>
        <w:rPr>
          <w:rFonts w:eastAsiaTheme="minorEastAsia"/>
        </w:rPr>
      </w:pPr>
      <w:r>
        <w:rPr>
          <w:rFonts w:eastAsiaTheme="minorEastAsia"/>
        </w:rPr>
        <w:t>Plotting the w</w:t>
      </w:r>
      <w:r w:rsidR="00A155BC">
        <w:rPr>
          <w:rFonts w:eastAsiaTheme="minorEastAsia"/>
        </w:rPr>
        <w:t>orkable area range versus the li</w:t>
      </w:r>
      <w:r>
        <w:rPr>
          <w:rFonts w:eastAsiaTheme="minorEastAsia"/>
        </w:rPr>
        <w:t>nk size, we get</w:t>
      </w:r>
      <w:r w:rsidR="00A155BC">
        <w:rPr>
          <w:rFonts w:eastAsiaTheme="minorEastAsia"/>
        </w:rPr>
        <w:t xml:space="preserve"> the following graph. On the plot, a link size of 7 cm corresponds to a wo</w:t>
      </w:r>
      <w:r w:rsidR="0074578D">
        <w:rPr>
          <w:rFonts w:eastAsiaTheme="minorEastAsia"/>
        </w:rPr>
        <w:t>rkable range of approximately 90 mm, or 9</w:t>
      </w:r>
      <w:r w:rsidR="00A155BC">
        <w:rPr>
          <w:rFonts w:eastAsiaTheme="minorEastAsia"/>
        </w:rPr>
        <w:t xml:space="preserve"> cm. This value is greater than the standard implant size that we aim to achieve, thus, a link size of 7 cm is both acceptable for maximum </w:t>
      </w:r>
      <w:r w:rsidR="0074578D">
        <w:rPr>
          <w:rFonts w:eastAsiaTheme="minorEastAsia"/>
        </w:rPr>
        <w:t>weight</w:t>
      </w:r>
      <w:r w:rsidR="00A155BC">
        <w:rPr>
          <w:rFonts w:eastAsiaTheme="minorEastAsia"/>
        </w:rPr>
        <w:t xml:space="preserve"> </w:t>
      </w:r>
      <w:r w:rsidR="0074578D">
        <w:rPr>
          <w:rFonts w:eastAsiaTheme="minorEastAsia"/>
        </w:rPr>
        <w:t>constraints and minimum workable area constraints.</w:t>
      </w:r>
    </w:p>
    <w:p w:rsidR="00E85F94" w:rsidRDefault="0074578D" w:rsidP="0056009B">
      <w:pPr>
        <w:spacing w:line="360" w:lineRule="auto"/>
        <w:rPr>
          <w:rFonts w:eastAsiaTheme="minorEastAsia"/>
        </w:rPr>
      </w:pPr>
      <w:r>
        <w:rPr>
          <w:rFonts w:eastAsiaTheme="minorEastAsia"/>
          <w:noProof/>
          <w:lang w:bidi="ar-SA"/>
        </w:rPr>
        <w:drawing>
          <wp:anchor distT="0" distB="0" distL="114300" distR="114300" simplePos="0" relativeHeight="251726848" behindDoc="0" locked="0" layoutInCell="1" allowOverlap="1">
            <wp:simplePos x="0" y="0"/>
            <wp:positionH relativeFrom="column">
              <wp:posOffset>772160</wp:posOffset>
            </wp:positionH>
            <wp:positionV relativeFrom="paragraph">
              <wp:posOffset>81280</wp:posOffset>
            </wp:positionV>
            <wp:extent cx="4287520" cy="3220720"/>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287520" cy="3220720"/>
                    </a:xfrm>
                    <a:prstGeom prst="rect">
                      <a:avLst/>
                    </a:prstGeom>
                    <a:noFill/>
                    <a:ln w="9525">
                      <a:noFill/>
                      <a:miter lim="800000"/>
                      <a:headEnd/>
                      <a:tailEnd/>
                    </a:ln>
                  </pic:spPr>
                </pic:pic>
              </a:graphicData>
            </a:graphic>
          </wp:anchor>
        </w:drawing>
      </w:r>
    </w:p>
    <w:p w:rsidR="0056009B" w:rsidRDefault="0056009B" w:rsidP="0056009B">
      <w:pPr>
        <w:spacing w:line="360" w:lineRule="auto"/>
        <w:jc w:val="center"/>
        <w:rPr>
          <w:rFonts w:eastAsiaTheme="minorEastAsia"/>
        </w:rPr>
      </w:pPr>
    </w:p>
    <w:p w:rsidR="0056009B" w:rsidRDefault="0056009B" w:rsidP="0056009B">
      <w:pPr>
        <w:spacing w:line="360" w:lineRule="auto"/>
        <w:jc w:val="center"/>
        <w:rPr>
          <w:rFonts w:eastAsiaTheme="minorEastAsia"/>
        </w:rPr>
      </w:pPr>
    </w:p>
    <w:p w:rsidR="0056009B" w:rsidRDefault="0056009B" w:rsidP="0056009B">
      <w:pPr>
        <w:spacing w:line="360" w:lineRule="auto"/>
        <w:jc w:val="center"/>
        <w:rPr>
          <w:rFonts w:eastAsiaTheme="minorEastAsia"/>
        </w:rPr>
      </w:pPr>
    </w:p>
    <w:p w:rsidR="0056009B" w:rsidRDefault="0056009B" w:rsidP="0056009B">
      <w:pPr>
        <w:spacing w:line="360" w:lineRule="auto"/>
        <w:jc w:val="center"/>
        <w:rPr>
          <w:rFonts w:eastAsiaTheme="minorEastAsia"/>
        </w:rPr>
      </w:pPr>
    </w:p>
    <w:p w:rsidR="0056009B" w:rsidRDefault="0056009B" w:rsidP="0056009B">
      <w:pPr>
        <w:spacing w:line="360" w:lineRule="auto"/>
        <w:jc w:val="center"/>
        <w:rPr>
          <w:rFonts w:eastAsiaTheme="minorEastAsia"/>
        </w:rPr>
      </w:pPr>
    </w:p>
    <w:p w:rsidR="0056009B" w:rsidRDefault="0056009B" w:rsidP="0056009B">
      <w:pPr>
        <w:spacing w:line="360" w:lineRule="auto"/>
        <w:jc w:val="center"/>
        <w:rPr>
          <w:rFonts w:eastAsiaTheme="minorEastAsia"/>
        </w:rPr>
      </w:pPr>
    </w:p>
    <w:p w:rsidR="0056009B" w:rsidRDefault="00590895" w:rsidP="0056009B">
      <w:pPr>
        <w:spacing w:line="360" w:lineRule="auto"/>
        <w:jc w:val="center"/>
      </w:pPr>
      <w:r>
        <w:rPr>
          <w:noProof/>
          <w:lang w:bidi="ar-SA"/>
        </w:rPr>
        <w:pict>
          <v:shape id="_x0000_s1092" type="#_x0000_t32" style="position:absolute;left:0;text-align:left;margin-left:115pt;margin-top:-.2pt;width:120.9pt;height:0;z-index:251728896" o:connectortype="straight" o:regroupid="5">
            <v:stroke dashstyle="dashDot"/>
          </v:shape>
        </w:pict>
      </w:r>
      <w:r>
        <w:rPr>
          <w:noProof/>
          <w:lang w:bidi="ar-SA"/>
        </w:rPr>
        <w:pict>
          <v:shape id="_x0000_s1093" type="#_x0000_t32" style="position:absolute;left:0;text-align:left;margin-left:236.7pt;margin-top:1.4pt;width:0;height:82.95pt;z-index:251729920" o:connectortype="straight" o:regroupid="5">
            <v:stroke dashstyle="dashDot"/>
          </v:shape>
        </w:pict>
      </w:r>
    </w:p>
    <w:p w:rsidR="00E85F94" w:rsidRDefault="00E85F94" w:rsidP="008211C6">
      <w:pPr>
        <w:spacing w:line="360" w:lineRule="auto"/>
      </w:pPr>
    </w:p>
    <w:p w:rsidR="00E85F94" w:rsidRDefault="00E85F94" w:rsidP="008211C6">
      <w:pPr>
        <w:spacing w:line="360" w:lineRule="auto"/>
      </w:pPr>
    </w:p>
    <w:p w:rsidR="00E85F94" w:rsidRDefault="00E85F94" w:rsidP="008211C6">
      <w:pPr>
        <w:spacing w:line="360" w:lineRule="auto"/>
      </w:pPr>
    </w:p>
    <w:p w:rsidR="00E85F94" w:rsidRDefault="00E85F94" w:rsidP="008211C6">
      <w:pPr>
        <w:spacing w:line="360" w:lineRule="auto"/>
      </w:pPr>
    </w:p>
    <w:p w:rsidR="00E85F94" w:rsidRDefault="00E85F94" w:rsidP="008211C6">
      <w:pPr>
        <w:spacing w:line="360" w:lineRule="auto"/>
      </w:pPr>
    </w:p>
    <w:p w:rsidR="00E85F94" w:rsidRDefault="0074578D" w:rsidP="008211C6">
      <w:pPr>
        <w:spacing w:line="360" w:lineRule="auto"/>
      </w:pPr>
      <w:r>
        <w:t xml:space="preserve">The Matlab code for the analysis described above can be found in the </w:t>
      </w:r>
      <w:r w:rsidRPr="0074578D">
        <w:rPr>
          <w:color w:val="FF0000"/>
        </w:rPr>
        <w:t>Appendix</w:t>
      </w:r>
      <w:r>
        <w:t>.</w:t>
      </w:r>
    </w:p>
    <w:p w:rsidR="0074578D" w:rsidRPr="0074578D" w:rsidRDefault="0074578D" w:rsidP="0074578D">
      <w:pPr>
        <w:spacing w:line="360" w:lineRule="auto"/>
        <w:rPr>
          <w:i/>
          <w:iCs/>
          <w:color w:val="FF0000"/>
        </w:rPr>
      </w:pPr>
      <w:r w:rsidRPr="0074578D">
        <w:rPr>
          <w:i/>
          <w:iCs/>
          <w:color w:val="FF0000"/>
        </w:rPr>
        <w:t>&gt;&gt; y = x.^2 + x.^2 -2.*x.*x.*cos(30) + 5*cos(20) - 7*cos(45)*cos(90-20+15);</w:t>
      </w:r>
    </w:p>
    <w:p w:rsidR="0074578D" w:rsidRPr="0074578D" w:rsidRDefault="0074578D" w:rsidP="0074578D">
      <w:pPr>
        <w:spacing w:line="360" w:lineRule="auto"/>
        <w:rPr>
          <w:i/>
          <w:iCs/>
          <w:color w:val="FF0000"/>
        </w:rPr>
      </w:pPr>
      <w:r w:rsidRPr="0074578D">
        <w:rPr>
          <w:i/>
          <w:iCs/>
          <w:color w:val="FF0000"/>
        </w:rPr>
        <w:t>&gt;&gt; z = y;</w:t>
      </w:r>
    </w:p>
    <w:p w:rsidR="0074578D" w:rsidRPr="0074578D" w:rsidRDefault="0074578D" w:rsidP="0074578D">
      <w:pPr>
        <w:spacing w:line="360" w:lineRule="auto"/>
        <w:rPr>
          <w:i/>
          <w:iCs/>
          <w:color w:val="FF0000"/>
        </w:rPr>
      </w:pPr>
      <w:r w:rsidRPr="0074578D">
        <w:rPr>
          <w:i/>
          <w:iCs/>
          <w:color w:val="FF0000"/>
        </w:rPr>
        <w:t>&gt;&gt; y = -5*cos(20) + 7*cos(45)*cos(90-20+15);</w:t>
      </w:r>
    </w:p>
    <w:p w:rsidR="0074578D" w:rsidRPr="0074578D" w:rsidRDefault="0074578D" w:rsidP="0074578D">
      <w:pPr>
        <w:spacing w:line="360" w:lineRule="auto"/>
        <w:rPr>
          <w:i/>
          <w:iCs/>
          <w:color w:val="FF0000"/>
        </w:rPr>
      </w:pPr>
      <w:r w:rsidRPr="0074578D">
        <w:rPr>
          <w:i/>
          <w:iCs/>
          <w:color w:val="FF0000"/>
        </w:rPr>
        <w:t>&gt;&gt; R = sqrt(z.^2 + y^2);</w:t>
      </w:r>
    </w:p>
    <w:p w:rsidR="0074578D" w:rsidRPr="0074578D" w:rsidRDefault="0074578D" w:rsidP="0074578D">
      <w:pPr>
        <w:spacing w:line="360" w:lineRule="auto"/>
        <w:rPr>
          <w:i/>
          <w:iCs/>
          <w:color w:val="FF0000"/>
        </w:rPr>
      </w:pPr>
      <w:r w:rsidRPr="0074578D">
        <w:rPr>
          <w:i/>
          <w:iCs/>
          <w:color w:val="FF0000"/>
        </w:rPr>
        <w:t>&gt;&gt; plot(x,R)</w:t>
      </w:r>
    </w:p>
    <w:p w:rsidR="0074578D" w:rsidRPr="0074578D" w:rsidRDefault="0074578D" w:rsidP="0074578D">
      <w:pPr>
        <w:spacing w:line="360" w:lineRule="auto"/>
        <w:rPr>
          <w:i/>
          <w:iCs/>
          <w:color w:val="FF0000"/>
        </w:rPr>
      </w:pPr>
      <w:r w:rsidRPr="0074578D">
        <w:rPr>
          <w:i/>
          <w:iCs/>
          <w:color w:val="FF0000"/>
        </w:rPr>
        <w:t>&gt;&gt; density = 8.03;</w:t>
      </w:r>
    </w:p>
    <w:p w:rsidR="0074578D" w:rsidRPr="0074578D" w:rsidRDefault="0074578D" w:rsidP="0074578D">
      <w:pPr>
        <w:spacing w:line="360" w:lineRule="auto"/>
        <w:rPr>
          <w:i/>
          <w:iCs/>
          <w:color w:val="FF0000"/>
        </w:rPr>
      </w:pPr>
      <w:r w:rsidRPr="0074578D">
        <w:rPr>
          <w:i/>
          <w:iCs/>
          <w:color w:val="FF0000"/>
        </w:rPr>
        <w:t>&gt;&gt; conversion = .0022046;</w:t>
      </w:r>
    </w:p>
    <w:p w:rsidR="0074578D" w:rsidRPr="0074578D" w:rsidRDefault="0074578D" w:rsidP="0074578D">
      <w:pPr>
        <w:spacing w:line="360" w:lineRule="auto"/>
        <w:rPr>
          <w:i/>
          <w:iCs/>
          <w:color w:val="FF0000"/>
        </w:rPr>
      </w:pPr>
      <w:r w:rsidRPr="0074578D">
        <w:rPr>
          <w:i/>
          <w:iCs/>
          <w:color w:val="FF0000"/>
        </w:rPr>
        <w:t>&gt;&gt; weight = x*2*1*density*conversion;</w:t>
      </w:r>
    </w:p>
    <w:p w:rsidR="0074578D" w:rsidRPr="0074578D" w:rsidRDefault="0074578D" w:rsidP="0074578D">
      <w:pPr>
        <w:spacing w:line="360" w:lineRule="auto"/>
        <w:rPr>
          <w:i/>
          <w:iCs/>
          <w:color w:val="FF0000"/>
        </w:rPr>
      </w:pPr>
      <w:r w:rsidRPr="0074578D">
        <w:rPr>
          <w:i/>
          <w:iCs/>
          <w:color w:val="FF0000"/>
        </w:rPr>
        <w:t>&gt;&gt; f = 7.*weight;</w:t>
      </w:r>
    </w:p>
    <w:p w:rsidR="0074578D" w:rsidRPr="0074578D" w:rsidRDefault="0074578D" w:rsidP="0074578D">
      <w:pPr>
        <w:spacing w:line="360" w:lineRule="auto"/>
        <w:rPr>
          <w:i/>
          <w:iCs/>
          <w:color w:val="FF0000"/>
        </w:rPr>
      </w:pPr>
      <w:r w:rsidRPr="0074578D">
        <w:rPr>
          <w:i/>
          <w:iCs/>
          <w:color w:val="FF0000"/>
        </w:rPr>
        <w:lastRenderedPageBreak/>
        <w:t>&gt;&gt; plot(x,f)</w:t>
      </w:r>
    </w:p>
    <w:p w:rsidR="0074578D" w:rsidRPr="0074578D" w:rsidRDefault="0074578D" w:rsidP="0074578D">
      <w:pPr>
        <w:spacing w:line="360" w:lineRule="auto"/>
        <w:rPr>
          <w:i/>
          <w:iCs/>
          <w:color w:val="FF0000"/>
        </w:rPr>
      </w:pPr>
      <w:r w:rsidRPr="0074578D">
        <w:rPr>
          <w:i/>
          <w:iCs/>
          <w:color w:val="FF0000"/>
        </w:rPr>
        <w:t>&gt;&gt; plot(x,f)</w:t>
      </w:r>
    </w:p>
    <w:p w:rsidR="005417CA" w:rsidRDefault="005417CA" w:rsidP="008211C6">
      <w:pPr>
        <w:spacing w:line="360" w:lineRule="auto"/>
      </w:pPr>
    </w:p>
    <w:p w:rsidR="008211C6" w:rsidRPr="008211C6" w:rsidRDefault="008211C6" w:rsidP="008211C6">
      <w:pPr>
        <w:spacing w:line="360" w:lineRule="auto"/>
      </w:pPr>
    </w:p>
    <w:sectPr w:rsidR="008211C6" w:rsidRPr="008211C6" w:rsidSect="004E382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703" w:rsidRDefault="00F35703" w:rsidP="008211C6">
      <w:r>
        <w:separator/>
      </w:r>
    </w:p>
  </w:endnote>
  <w:endnote w:type="continuationSeparator" w:id="0">
    <w:p w:rsidR="00F35703" w:rsidRDefault="00F35703" w:rsidP="008211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703" w:rsidRDefault="00F35703" w:rsidP="008211C6">
      <w:r>
        <w:separator/>
      </w:r>
    </w:p>
  </w:footnote>
  <w:footnote w:type="continuationSeparator" w:id="0">
    <w:p w:rsidR="00F35703" w:rsidRDefault="00F35703" w:rsidP="008211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1"/>
    <w:footnote w:id="0"/>
  </w:footnotePr>
  <w:endnotePr>
    <w:endnote w:id="-1"/>
    <w:endnote w:id="0"/>
  </w:endnotePr>
  <w:compat/>
  <w:rsids>
    <w:rsidRoot w:val="001411D1"/>
    <w:rsid w:val="0003278A"/>
    <w:rsid w:val="00061761"/>
    <w:rsid w:val="0007337B"/>
    <w:rsid w:val="000E46A5"/>
    <w:rsid w:val="001411D1"/>
    <w:rsid w:val="00143061"/>
    <w:rsid w:val="0017405D"/>
    <w:rsid w:val="001A072D"/>
    <w:rsid w:val="002131C2"/>
    <w:rsid w:val="0029000F"/>
    <w:rsid w:val="003F54D1"/>
    <w:rsid w:val="004E382A"/>
    <w:rsid w:val="0052147F"/>
    <w:rsid w:val="005417CA"/>
    <w:rsid w:val="0056009B"/>
    <w:rsid w:val="00590895"/>
    <w:rsid w:val="006861CB"/>
    <w:rsid w:val="0074578D"/>
    <w:rsid w:val="00762BFB"/>
    <w:rsid w:val="007748F5"/>
    <w:rsid w:val="007C7A0F"/>
    <w:rsid w:val="007D3D3B"/>
    <w:rsid w:val="008211C6"/>
    <w:rsid w:val="008F0ED9"/>
    <w:rsid w:val="009176F0"/>
    <w:rsid w:val="0097258A"/>
    <w:rsid w:val="00990BA5"/>
    <w:rsid w:val="009C41A2"/>
    <w:rsid w:val="009D3DD1"/>
    <w:rsid w:val="00A155BC"/>
    <w:rsid w:val="00A63B7C"/>
    <w:rsid w:val="00A90DD8"/>
    <w:rsid w:val="00AC2680"/>
    <w:rsid w:val="00AF00D8"/>
    <w:rsid w:val="00B04F51"/>
    <w:rsid w:val="00B53F94"/>
    <w:rsid w:val="00B87DD3"/>
    <w:rsid w:val="00BC5BC3"/>
    <w:rsid w:val="00C7356C"/>
    <w:rsid w:val="00C901AD"/>
    <w:rsid w:val="00CB3169"/>
    <w:rsid w:val="00CF2CDA"/>
    <w:rsid w:val="00D00F65"/>
    <w:rsid w:val="00D33214"/>
    <w:rsid w:val="00D93C31"/>
    <w:rsid w:val="00DB7145"/>
    <w:rsid w:val="00E85F94"/>
    <w:rsid w:val="00F27DE9"/>
    <w:rsid w:val="00F35703"/>
    <w:rsid w:val="00F379A4"/>
    <w:rsid w:val="00FC64C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05]"/>
    </o:shapedefaults>
    <o:shapelayout v:ext="edit">
      <o:idmap v:ext="edit" data="1"/>
      <o:rules v:ext="edit">
        <o:r id="V:Rule2" type="arc" idref="#_x0000_s1027"/>
        <o:r id="V:Rule3" type="arc" idref="#_x0000_s1028"/>
        <o:r id="V:Rule13" type="arc" idref="#_x0000_s1061"/>
        <o:r id="V:Rule14" type="arc" idref="#_x0000_s1066"/>
        <o:r id="V:Rule21" type="connector" idref="#_x0000_s1043"/>
        <o:r id="V:Rule22" type="connector" idref="#_x0000_s1032"/>
        <o:r id="V:Rule23" type="connector" idref="#_x0000_s1040"/>
        <o:r id="V:Rule24" type="connector" idref="#_x0000_s1029"/>
        <o:r id="V:Rule25" type="connector" idref="#_x0000_s1039"/>
        <o:r id="V:Rule26" type="connector" idref="#_x0000_s1042"/>
        <o:r id="V:Rule27" type="connector" idref="#_x0000_s1065"/>
        <o:r id="V:Rule28" type="connector" idref="#_x0000_s1044"/>
        <o:r id="V:Rule29" type="connector" idref="#_x0000_s1041"/>
        <o:r id="V:Rule30" type="connector" idref="#_x0000_s1092"/>
        <o:r id="V:Rule31" type="connector" idref="#_x0000_s1089"/>
        <o:r id="V:Rule32" type="connector" idref="#_x0000_s1088"/>
        <o:r id="V:Rule33" type="connector" idref="#_x0000_s1030"/>
        <o:r id="V:Rule34" type="connector" idref="#_x0000_s1031"/>
        <o:r id="V:Rule35" type="connector" idref="#_x0000_s1033"/>
        <o:r id="V:Rule36" type="connector" idref="#_x0000_s1093"/>
      </o:rules>
      <o:regrouptable v:ext="edit">
        <o:entry new="1" old="0"/>
        <o:entry new="2" old="1"/>
        <o:entry new="3" old="2"/>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11C6"/>
    <w:pPr>
      <w:tabs>
        <w:tab w:val="center" w:pos="4320"/>
        <w:tab w:val="right" w:pos="8640"/>
      </w:tabs>
    </w:pPr>
  </w:style>
  <w:style w:type="character" w:customStyle="1" w:styleId="HeaderChar">
    <w:name w:val="Header Char"/>
    <w:basedOn w:val="DefaultParagraphFont"/>
    <w:link w:val="Header"/>
    <w:uiPriority w:val="99"/>
    <w:semiHidden/>
    <w:rsid w:val="008211C6"/>
    <w:rPr>
      <w:lang w:bidi="ar-EG"/>
    </w:rPr>
  </w:style>
  <w:style w:type="paragraph" w:styleId="Footer">
    <w:name w:val="footer"/>
    <w:basedOn w:val="Normal"/>
    <w:link w:val="FooterChar"/>
    <w:uiPriority w:val="99"/>
    <w:semiHidden/>
    <w:unhideWhenUsed/>
    <w:rsid w:val="008211C6"/>
    <w:pPr>
      <w:tabs>
        <w:tab w:val="center" w:pos="4320"/>
        <w:tab w:val="right" w:pos="8640"/>
      </w:tabs>
    </w:pPr>
  </w:style>
  <w:style w:type="character" w:customStyle="1" w:styleId="FooterChar">
    <w:name w:val="Footer Char"/>
    <w:basedOn w:val="DefaultParagraphFont"/>
    <w:link w:val="Footer"/>
    <w:uiPriority w:val="99"/>
    <w:semiHidden/>
    <w:rsid w:val="008211C6"/>
    <w:rPr>
      <w:lang w:bidi="ar-EG"/>
    </w:rPr>
  </w:style>
  <w:style w:type="character" w:styleId="PlaceholderText">
    <w:name w:val="Placeholder Text"/>
    <w:basedOn w:val="DefaultParagraphFont"/>
    <w:uiPriority w:val="99"/>
    <w:semiHidden/>
    <w:rsid w:val="00990BA5"/>
    <w:rPr>
      <w:color w:val="808080"/>
    </w:rPr>
  </w:style>
  <w:style w:type="paragraph" w:styleId="Caption">
    <w:name w:val="caption"/>
    <w:basedOn w:val="Normal"/>
    <w:next w:val="Normal"/>
    <w:uiPriority w:val="35"/>
    <w:unhideWhenUsed/>
    <w:qFormat/>
    <w:rsid w:val="0056009B"/>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077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happy%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t>Device (links)</a:t>
            </a:r>
            <a:r>
              <a:rPr lang="en-US" baseline="0"/>
              <a:t> Total Weight</a:t>
            </a:r>
            <a:endParaRPr/>
          </a:p>
        </c:rich>
      </c:tx>
    </c:title>
    <c:plotArea>
      <c:layout/>
      <c:lineChart>
        <c:grouping val="standard"/>
        <c:ser>
          <c:idx val="0"/>
          <c:order val="0"/>
          <c:tx>
            <c:strRef>
              <c:f>Sheet1!$B$51</c:f>
              <c:strCache>
                <c:ptCount val="1"/>
                <c:pt idx="0">
                  <c:v>happiness</c:v>
                </c:pt>
              </c:strCache>
            </c:strRef>
          </c:tx>
          <c:marker>
            <c:symbol val="none"/>
          </c:marker>
          <c:cat>
            <c:numRef>
              <c:f>Sheet1!$A$52:$A$59</c:f>
              <c:numCache>
                <c:formatCode>General</c:formatCode>
                <c:ptCount val="8"/>
                <c:pt idx="1">
                  <c:v>10</c:v>
                </c:pt>
                <c:pt idx="2">
                  <c:v>7</c:v>
                </c:pt>
                <c:pt idx="3">
                  <c:v>6</c:v>
                </c:pt>
                <c:pt idx="4">
                  <c:v>5</c:v>
                </c:pt>
                <c:pt idx="5">
                  <c:v>4</c:v>
                </c:pt>
                <c:pt idx="6">
                  <c:v>3</c:v>
                </c:pt>
                <c:pt idx="7">
                  <c:v>2</c:v>
                </c:pt>
              </c:numCache>
            </c:numRef>
          </c:cat>
          <c:val>
            <c:numRef>
              <c:f>Sheet1!$B$52:$B$59</c:f>
              <c:numCache>
                <c:formatCode>0%</c:formatCode>
                <c:ptCount val="8"/>
                <c:pt idx="0">
                  <c:v>0</c:v>
                </c:pt>
                <c:pt idx="1">
                  <c:v>2.0000000000000028E-2</c:v>
                </c:pt>
                <c:pt idx="2">
                  <c:v>0.1</c:v>
                </c:pt>
                <c:pt idx="3">
                  <c:v>0.30000000000000032</c:v>
                </c:pt>
                <c:pt idx="4">
                  <c:v>0.75000000000000155</c:v>
                </c:pt>
                <c:pt idx="5">
                  <c:v>0.87000000000000144</c:v>
                </c:pt>
                <c:pt idx="6">
                  <c:v>0.93</c:v>
                </c:pt>
                <c:pt idx="7">
                  <c:v>1</c:v>
                </c:pt>
              </c:numCache>
            </c:numRef>
          </c:val>
          <c:smooth val="1"/>
        </c:ser>
        <c:hiLowLines/>
        <c:marker val="1"/>
        <c:axId val="93193728"/>
        <c:axId val="93255552"/>
      </c:lineChart>
      <c:catAx>
        <c:axId val="93193728"/>
        <c:scaling>
          <c:orientation val="minMax"/>
        </c:scaling>
        <c:axPos val="b"/>
        <c:title>
          <c:tx>
            <c:rich>
              <a:bodyPr/>
              <a:lstStyle/>
              <a:p>
                <a:pPr>
                  <a:defRPr lang="ja-JP"/>
                </a:pPr>
                <a:r>
                  <a:rPr lang="en-US" altLang="ja-JP" baseline="0"/>
                  <a:t>Weight (lbs)</a:t>
                </a:r>
                <a:endParaRPr lang="ja-JP" altLang="en-US"/>
              </a:p>
            </c:rich>
          </c:tx>
        </c:title>
        <c:numFmt formatCode="General" sourceLinked="1"/>
        <c:majorTickMark val="none"/>
        <c:tickLblPos val="nextTo"/>
        <c:txPr>
          <a:bodyPr/>
          <a:lstStyle/>
          <a:p>
            <a:pPr>
              <a:defRPr lang="ja-JP"/>
            </a:pPr>
            <a:endParaRPr lang="en-US"/>
          </a:p>
        </c:txPr>
        <c:crossAx val="93255552"/>
        <c:crosses val="autoZero"/>
        <c:auto val="1"/>
        <c:lblAlgn val="ctr"/>
        <c:lblOffset val="100"/>
      </c:catAx>
      <c:valAx>
        <c:axId val="93255552"/>
        <c:scaling>
          <c:orientation val="minMax"/>
          <c:max val="1"/>
        </c:scaling>
        <c:axPos val="l"/>
        <c:majorGridlines/>
        <c:title>
          <c:tx>
            <c:rich>
              <a:bodyPr rot="0" vert="horz"/>
              <a:lstStyle/>
              <a:p>
                <a:pPr>
                  <a:defRPr lang="ja-JP"/>
                </a:pPr>
                <a:r>
                  <a:rPr lang="en-US" altLang="ja-JP"/>
                  <a:t>User Satisfaction</a:t>
                </a:r>
                <a:endParaRPr lang="ja-JP" altLang="en-US"/>
              </a:p>
            </c:rich>
          </c:tx>
        </c:title>
        <c:numFmt formatCode="0%" sourceLinked="1"/>
        <c:tickLblPos val="nextTo"/>
        <c:txPr>
          <a:bodyPr/>
          <a:lstStyle/>
          <a:p>
            <a:pPr>
              <a:defRPr lang="ja-JP"/>
            </a:pPr>
            <a:endParaRPr lang="en-US"/>
          </a:p>
        </c:txPr>
        <c:crossAx val="93193728"/>
        <c:crosses val="autoZero"/>
        <c:crossBetween val="midCat"/>
        <c:majorUnit val="0.5"/>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ltLang="en-US"/>
              <a:t>Workable Area</a:t>
            </a:r>
          </a:p>
        </c:rich>
      </c:tx>
    </c:title>
    <c:plotArea>
      <c:layout>
        <c:manualLayout>
          <c:layoutTarget val="inner"/>
          <c:xMode val="edge"/>
          <c:yMode val="edge"/>
          <c:x val="0.33825495771362024"/>
          <c:y val="0.18701137357830364"/>
          <c:w val="0.55577282006415862"/>
          <c:h val="0.52740315102970736"/>
        </c:manualLayout>
      </c:layout>
      <c:lineChart>
        <c:grouping val="standard"/>
        <c:ser>
          <c:idx val="0"/>
          <c:order val="0"/>
          <c:tx>
            <c:strRef>
              <c:f>Sheet1!$B$35</c:f>
              <c:strCache>
                <c:ptCount val="1"/>
                <c:pt idx="0">
                  <c:v>happiness</c:v>
                </c:pt>
              </c:strCache>
            </c:strRef>
          </c:tx>
          <c:marker>
            <c:symbol val="none"/>
          </c:marker>
          <c:cat>
            <c:strRef>
              <c:f>Sheet1!$A$36:$A$41</c:f>
              <c:strCache>
                <c:ptCount val="6"/>
                <c:pt idx="0">
                  <c:v>Surface shape is imposed, not acquired</c:v>
                </c:pt>
                <c:pt idx="2">
                  <c:v>User can input shape functions (as code/equations)</c:v>
                </c:pt>
                <c:pt idx="5">
                  <c:v>User can input 3-D CAD model of detailed surface</c:v>
                </c:pt>
              </c:strCache>
            </c:strRef>
          </c:cat>
          <c:val>
            <c:numRef>
              <c:f>Sheet1!$B$36:$B$41</c:f>
              <c:numCache>
                <c:formatCode>0%</c:formatCode>
                <c:ptCount val="6"/>
                <c:pt idx="0">
                  <c:v>0</c:v>
                </c:pt>
                <c:pt idx="1">
                  <c:v>0.15000000000000024</c:v>
                </c:pt>
                <c:pt idx="2">
                  <c:v>0.6500000000000018</c:v>
                </c:pt>
                <c:pt idx="3">
                  <c:v>0.8</c:v>
                </c:pt>
                <c:pt idx="4">
                  <c:v>0.9</c:v>
                </c:pt>
                <c:pt idx="5">
                  <c:v>1</c:v>
                </c:pt>
              </c:numCache>
            </c:numRef>
          </c:val>
          <c:smooth val="1"/>
        </c:ser>
        <c:hiLowLines/>
        <c:marker val="1"/>
        <c:axId val="108290816"/>
        <c:axId val="108292736"/>
      </c:lineChart>
      <c:catAx>
        <c:axId val="108290816"/>
        <c:scaling>
          <c:orientation val="minMax"/>
        </c:scaling>
        <c:delete val="1"/>
        <c:axPos val="b"/>
        <c:title>
          <c:tx>
            <c:rich>
              <a:bodyPr/>
              <a:lstStyle/>
              <a:p>
                <a:pPr>
                  <a:defRPr lang="ja-JP"/>
                </a:pPr>
                <a:r>
                  <a:rPr lang="en-US" altLang="en-US"/>
                  <a:t>Area</a:t>
                </a:r>
                <a:r>
                  <a:rPr lang="en-US" altLang="en-US" baseline="0"/>
                  <a:t> and knee size</a:t>
                </a:r>
                <a:endParaRPr altLang="en-US"/>
              </a:p>
            </c:rich>
          </c:tx>
          <c:layout>
            <c:manualLayout>
              <c:xMode val="edge"/>
              <c:yMode val="edge"/>
              <c:x val="0.43855294881572282"/>
              <c:y val="0.91828306673838278"/>
            </c:manualLayout>
          </c:layout>
        </c:title>
        <c:numFmt formatCode="0%" sourceLinked="1"/>
        <c:tickLblPos val="none"/>
        <c:crossAx val="108292736"/>
        <c:crosses val="autoZero"/>
        <c:auto val="1"/>
        <c:lblAlgn val="ctr"/>
        <c:lblOffset val="100"/>
      </c:catAx>
      <c:valAx>
        <c:axId val="108292736"/>
        <c:scaling>
          <c:orientation val="minMax"/>
          <c:max val="1"/>
        </c:scaling>
        <c:axPos val="l"/>
        <c:majorGridlines/>
        <c:title>
          <c:tx>
            <c:rich>
              <a:bodyPr rot="0" vert="horz"/>
              <a:lstStyle/>
              <a:p>
                <a:pPr>
                  <a:defRPr lang="ja-JP"/>
                </a:pPr>
                <a:r>
                  <a:rPr lang="en-US" altLang="ja-JP"/>
                  <a:t>User Satisfaction</a:t>
                </a:r>
              </a:p>
            </c:rich>
          </c:tx>
          <c:layout>
            <c:manualLayout>
              <c:xMode val="edge"/>
              <c:yMode val="edge"/>
              <c:x val="3.3950617283950615E-2"/>
              <c:y val="0.43152580927384376"/>
            </c:manualLayout>
          </c:layout>
        </c:title>
        <c:numFmt formatCode="0%" sourceLinked="1"/>
        <c:tickLblPos val="nextTo"/>
        <c:txPr>
          <a:bodyPr/>
          <a:lstStyle/>
          <a:p>
            <a:pPr>
              <a:defRPr lang="ja-JP"/>
            </a:pPr>
            <a:endParaRPr lang="en-US"/>
          </a:p>
        </c:txPr>
        <c:crossAx val="108290816"/>
        <c:crosses val="autoZero"/>
        <c:crossBetween val="midCat"/>
        <c:majorUnit val="0.5"/>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2010-03-30T05:18:00Z</dcterms:created>
  <dcterms:modified xsi:type="dcterms:W3CDTF">2010-04-05T03:45:00Z</dcterms:modified>
</cp:coreProperties>
</file>