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INNOSCRIPTA</w:t>
      </w:r>
    </w:p>
    <w:p>
      <w:pPr>
        <w:spacing w:after="6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Meta Ads Performance Report</w:t>
      </w:r>
    </w:p>
    <w:p>
      <w:pPr>
        <w:pBdr>
          <w:bottom w:val="single" w:color="2E86C1" w:sz="4" w:space="8"/>
        </w:pBdr>
        <w:spacing w:after="2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January 29 – February 25, 2026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Account: Innoscripta (act_748869127555260)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Currency: EUR (€)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Objective: Lead Generation (R&amp;D Tax Credits – US Market)</w:t>
      </w:r>
    </w:p>
    <w:p>
      <w:r>
        <w:br w:type="page"/>
      </w:r>
    </w:p>
    <w:p>
      <w:pPr>
        <w:pBdr>
          <w:bottom w:val="single" w:color="2E86C1" w:sz="3" w:space="4"/>
        </w:pBdr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Over the 28-day reporting period (Jan 29 – Feb 25, 2026), the Innoscripta Meta Ads account spent a total of €2,690.48 across two active lead generation campaigns targeting CFOs, founders, and executives in the United States interested in R&amp;D tax credits.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campaigns collectively generated 81 leads at an average cost per lead (CPL) of €33.22, with 9 conversions tracked as scheduled appointments ("Schedule" events). The account reached 46,027 unique users with a frequency of 2.41, producing 111,042 impressions and 3,219 link clicks at a CTR of 2.79%.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Total Spend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32"/>
                <w:szCs w:val="32"/>
              </w:rPr>
              <w:t xml:space="preserve">€2,690.48</w:t>
            </w:r>
          </w:p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28-day period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Leads Generated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32"/>
                <w:szCs w:val="32"/>
              </w:rPr>
              <w:t xml:space="preserve">81</w:t>
            </w:r>
          </w:p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Cost per Lead: €33.22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Reach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32"/>
                <w:szCs w:val="32"/>
              </w:rPr>
              <w:t xml:space="preserve">46,027</w:t>
            </w:r>
          </w:p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Frequency: 2.41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Link Clicks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32"/>
                <w:szCs w:val="32"/>
              </w:rPr>
              <w:t xml:space="preserve">3,219</w:t>
            </w:r>
          </w:p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CTR: 2.79% | CPC: €0.84</w:t>
            </w:r>
          </w:p>
        </w:tc>
      </w:tr>
    </w:tbl>
    <w:p>
      <w:pPr>
        <w:spacing w:after="60"/>
      </w:pPr>
    </w:p>
    <w:p>
      <w:pPr>
        <w:pBdr>
          <w:bottom w:val="single" w:color="2E86C1" w:sz="3" w:space="4"/>
        </w:pBdr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Account-Level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Total Spend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€2,690.48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111,042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Reach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46,027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Frequency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2.41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Healthy range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Total Clicks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3,103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Link Clicks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3,219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CTR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2.79%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Above B2B avg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CPC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€0.87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CPM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€24.23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Landing Page Views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790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Cost: €3.41 each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Leads (Pixel)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81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CPL: €33.22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Scheduled Appointments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Cost/Sched: €299.05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Video Views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6,268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Cost: €0.43 each</w:t>
            </w:r>
          </w:p>
        </w:tc>
      </w:tr>
    </w:tbl>
    <w:p>
      <w:pPr>
        <w:spacing w:after="60"/>
      </w:pPr>
    </w:p>
    <w:p>
      <w:pPr>
        <w:pBdr>
          <w:bottom w:val="single" w:color="2E86C1" w:sz="3" w:space="4"/>
        </w:pBdr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Campaign-Level Breakdown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account runs two primary campaigns, both optimized for lead generation (Schedule conversions) targeting the US market.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Campaign 1: BB. Lead Campaign | US | 2026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is the main broad-based campaign with multiple ad sets targeting CFOs, founders, and executives via interest-based, lookalike, and geo-targeted audiences. It launched on January 29 and carries a daily budget of €80.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Spend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€1,660.00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103,936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Reach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41,091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Link Clicks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2,604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CTR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2.42%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CPC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€0.66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CPM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€15.97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Leads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43 (CPL: €38.60)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Scheduled Appointments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 (Cost/Sched: €332.00)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Landing Page Views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541 (Cost: €3.07)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Video Views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5,904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Campaign 2: Primary Lead Gen | CBO | US | Mina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CBO (Campaign Budget Optimization) campaign was launched on February 10 with a daily budget of €144. It runs a single ad set ("TESTING - All New Creatives") with Advantage+ audience targeting across the US, testing multiple creative angles.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Spend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€1,025.86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6,858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Reach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4,254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Link Clicks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524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CTR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7.35%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CPC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€2.04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CPM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€149.59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Leads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38 (CPL: €27.00)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Scheduled Appointments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 (Cost/Sched: €256.47)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Landing Page Views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208 (Cost: €4.93)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Key Insight: Campaign 2 (Primary Lead Gen) achieves a significantly lower CPL (€27.00 vs €38.60) despite a much higher CPM (€149.59 vs €15.97). This indicates better audience quality and higher conversion rates from a more targeted, smaller reach pool. However, it has only been running for ~15 days compared to the full 28-day period.</w:t>
      </w:r>
    </w:p>
    <w:p>
      <w:r>
        <w:br w:type="page"/>
      </w:r>
    </w:p>
    <w:p>
      <w:pPr>
        <w:pBdr>
          <w:bottom w:val="single" w:color="2E86C1" w:sz="3" w:space="4"/>
        </w:pBdr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Ad Set Performance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account operates 7 ad sets across both campaigns, each targeting different audience segments within the US market.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900"/>
        <w:gridCol w:w="700"/>
        <w:gridCol w:w="900"/>
        <w:gridCol w:w="700"/>
        <w:gridCol w:w="1000"/>
        <w:gridCol w:w="760"/>
        <w:gridCol w:w="80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 Set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Spend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Reach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CPM</w:t>
            </w:r>
          </w:p>
        </w:tc>
        <w:tc>
          <w:tcPr>
            <w:tcW w:type="dxa" w:w="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 | R&amp;D | CFO | Interest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€1,266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89,175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33,637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846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1.01%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€14.20</w:t>
            </w:r>
          </w:p>
        </w:tc>
        <w:tc>
          <w:tcPr>
            <w:tcW w:type="dxa" w:w="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€37.24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TESTING (All Creatives)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€1,026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6,858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4,254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524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7.35%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€149.59</w:t>
            </w:r>
          </w:p>
        </w:tc>
        <w:tc>
          <w:tcPr>
            <w:tcW w:type="dxa" w:w="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38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€27.00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LearnMore | Lookalike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€175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4,170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3,253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878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19.28%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€41.93</w:t>
            </w:r>
          </w:p>
        </w:tc>
        <w:tc>
          <w:tcPr>
            <w:tcW w:type="dxa" w:w="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€43.71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 | R&amp;D | CFO | LL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€92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2,516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1,737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19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1.39%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€36.49</w:t>
            </w:r>
          </w:p>
        </w:tc>
        <w:tc>
          <w:tcPr>
            <w:tcW w:type="dxa" w:w="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€45.91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California | Interest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€70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2,202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1,679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763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31.52%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€31.95</w:t>
            </w:r>
          </w:p>
        </w:tc>
        <w:tc>
          <w:tcPr>
            <w:tcW w:type="dxa" w:w="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€70.35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Georgia | Interest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€57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5,873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2,140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98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1.50%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€9.69</w:t>
            </w:r>
          </w:p>
        </w:tc>
        <w:tc>
          <w:tcPr>
            <w:tcW w:type="dxa" w:w="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€28.46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Top Performing Ad Sets by CPL: The "TESTING (All New Creatives)" ad set delivers the best CPL at €27.00 with 38 leads, making it the most efficient lead driver. Georgia targeting also shows a strong CPL of €28.46, though with very low volume (2 leads). The interest-based US targeting ad set generates the most volume (34 leads) but at a higher CPL of €37.24.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Lookalike and California ad sets show high CTRs (19.28% and 31.52% respectively) driven by video view engagement, but convert at significantly higher CPLs, suggesting the audience may be less intent-driven.</w:t>
      </w:r>
    </w:p>
    <w:p>
      <w:r>
        <w:br w:type="page"/>
      </w:r>
    </w:p>
    <w:p>
      <w:pPr>
        <w:pBdr>
          <w:bottom w:val="single" w:color="2E86C1" w:sz="3" w:space="4"/>
        </w:pBdr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Top Ad Creative Performance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following table shows the top-performing individual ads ranked by spend, with their key lead generation metrics.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900"/>
        <w:gridCol w:w="800"/>
        <w:gridCol w:w="1000"/>
        <w:gridCol w:w="860"/>
        <w:gridCol w:w="8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 Name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Spend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Impr.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LPV</w:t>
            </w:r>
          </w:p>
        </w:tc>
        <w:tc>
          <w:tcPr>
            <w:tcW w:type="dxa" w:w="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BB | 7,6 Mill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€699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30,441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382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1.32%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232</w:t>
            </w:r>
          </w:p>
        </w:tc>
        <w:tc>
          <w:tcPr>
            <w:tcW w:type="dxa" w:w="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28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€24.95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Stop Leaving Money (FOMO)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€638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3,459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173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5.38%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97</w:t>
            </w:r>
          </w:p>
        </w:tc>
        <w:tc>
          <w:tcPr>
            <w:tcW w:type="dxa" w:w="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€26.60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BB | Reddit Vid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€313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35,123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312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0.93%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178</w:t>
            </w:r>
          </w:p>
        </w:tc>
        <w:tc>
          <w:tcPr>
            <w:tcW w:type="dxa" w:w="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8"/>
                <w:szCs w:val="18"/>
              </w:rPr>
              <w:t xml:space="preserve">€62.58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BB | 750K Claims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€210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12,913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98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0.92%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49</w:t>
            </w:r>
          </w:p>
        </w:tc>
        <w:tc>
          <w:tcPr>
            <w:tcW w:type="dxa" w:w="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€209.63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Amelia Video 1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€175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4,170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878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19.28%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€43.71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Zero Hassle (Ease)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€126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840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99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9.76%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37</w:t>
            </w:r>
          </w:p>
        </w:tc>
        <w:tc>
          <w:tcPr>
            <w:tcW w:type="dxa" w:w="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8"/>
                <w:szCs w:val="18"/>
              </w:rPr>
              <w:t xml:space="preserve">€126.04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 Per Month (Risk-Reversal)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€117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596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5.70%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BB | Runway Ad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€50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4,905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68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1.24%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28</w:t>
            </w:r>
          </w:p>
        </w:tc>
        <w:tc>
          <w:tcPr>
            <w:tcW w:type="dxa" w:w="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€24.84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Track R&amp;D (Control)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€23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224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5.36%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€7.63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Creative Winners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"BB | 7,6 Mill" </w:t>
      </w:r>
      <w:r>
        <w:rPr>
          <w:rFonts w:ascii="Arial" w:cs="Arial" w:eastAsia="Arial" w:hAnsi="Arial"/>
          <w:sz w:val="20"/>
          <w:szCs w:val="20"/>
        </w:rPr>
        <w:t xml:space="preserve">is the top lead driver with 28 leads at €24.95 CPL. This static image creative highlighting €7.6M in R&amp;D claims resonates strongly with the target audience.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"Stop Leaving Money" (FOMO angle) </w:t>
      </w:r>
      <w:r>
        <w:rPr>
          <w:rFonts w:ascii="Arial" w:cs="Arial" w:eastAsia="Arial" w:hAnsi="Arial"/>
          <w:sz w:val="20"/>
          <w:szCs w:val="20"/>
        </w:rPr>
        <w:t xml:space="preserve">delivers 24 leads at €26.60 CPL with much higher CTR (5.38%). This creative uses urgency and fear-of-missing-out messaging.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"Track R&amp;D" (Control angle) </w:t>
      </w:r>
      <w:r>
        <w:rPr>
          <w:rFonts w:ascii="Arial" w:cs="Arial" w:eastAsia="Arial" w:hAnsi="Arial"/>
          <w:sz w:val="20"/>
          <w:szCs w:val="20"/>
        </w:rPr>
        <w:t xml:space="preserve">shows the lowest CPL at €7.63 with 3 leads on just €23 spend – a strong early signal worth scaling.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Underperformers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"BB | 750K Claims" </w:t>
      </w:r>
      <w:r>
        <w:rPr>
          <w:rFonts w:ascii="Arial" w:cs="Arial" w:eastAsia="Arial" w:hAnsi="Arial"/>
          <w:sz w:val="20"/>
          <w:szCs w:val="20"/>
        </w:rPr>
        <w:t xml:space="preserve">spent €210 for just 1 lead (€209.63 CPL). Consider pausing or refreshing this creative.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"0 Per Month" (Risk-Reversal) </w:t>
      </w:r>
      <w:r>
        <w:rPr>
          <w:rFonts w:ascii="Arial" w:cs="Arial" w:eastAsia="Arial" w:hAnsi="Arial"/>
          <w:sz w:val="20"/>
          <w:szCs w:val="20"/>
        </w:rPr>
        <w:t xml:space="preserve">spent €117 with zero leads. This angle is not converting and should be paused.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"Zero Hassle" (Ease angle) </w:t>
      </w:r>
      <w:r>
        <w:rPr>
          <w:rFonts w:ascii="Arial" w:cs="Arial" w:eastAsia="Arial" w:hAnsi="Arial"/>
          <w:sz w:val="20"/>
          <w:szCs w:val="20"/>
        </w:rPr>
        <w:t xml:space="preserve">has a high CTR (9.76%) but only 1 lead on €126 spend. The click-to-lead conversion is very weak.</w:t>
      </w:r>
    </w:p>
    <w:p>
      <w:r>
        <w:br w:type="page"/>
      </w:r>
    </w:p>
    <w:p>
      <w:pPr>
        <w:pBdr>
          <w:bottom w:val="single" w:color="2E86C1" w:sz="3" w:space="4"/>
        </w:pBdr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Funnel Analysis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Understanding the drop-off at each stage helps identify optimization opportunities.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111,042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CPM: €24.23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Link Clicks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3,219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2.90% of impr.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€0.84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Landing Page Views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790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24.5% of clicks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€3.41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Leads (Pixel)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81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10.3% of LPVs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€33.22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Scheduled Appts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11.1% of leads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€299.05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Key Observations: The click-to-landing-page-view rate of 24.5% indicates that about 75% of link clicks do not result in a tracked landing page view. This could signal slow page load times, mismatched expectations between the ad and the landing page, or tracking gaps. The lead-to-schedule rate of 11.1% shows that roughly 1 in 9 leads converts to a booked appointment, suggesting room for improvement in the lead nurturing or booking flow.</w:t>
      </w:r>
    </w:p>
    <w:p>
      <w:r>
        <w:br w:type="page"/>
      </w:r>
    </w:p>
    <w:p>
      <w:pPr>
        <w:pBdr>
          <w:bottom w:val="single" w:color="2E86C1" w:sz="3" w:space="4"/>
        </w:pBdr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Targeting &amp; Audience Summary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campaigns target professionals in the US market with the following audience strategy: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Job Titles: </w:t>
      </w:r>
      <w:r>
        <w:rPr>
          <w:rFonts w:ascii="Arial" w:cs="Arial" w:eastAsia="Arial" w:hAnsi="Arial"/>
          <w:sz w:val="20"/>
          <w:szCs w:val="20"/>
        </w:rPr>
        <w:t xml:space="preserve">CFO, CEO, Founder, Managing Director, Executive Director, SVP, EVP, COO, Business 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Interests: </w:t>
      </w:r>
      <w:r>
        <w:rPr>
          <w:rFonts w:ascii="Arial" w:cs="Arial" w:eastAsia="Arial" w:hAnsi="Arial"/>
          <w:sz w:val="20"/>
          <w:szCs w:val="20"/>
        </w:rPr>
        <w:t xml:space="preserve">Emerging Technologies, Innovation (Business &amp; Finance), Funding, Renewable Energy, Environmental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Age: </w:t>
      </w:r>
      <w:r>
        <w:rPr>
          <w:rFonts w:ascii="Arial" w:cs="Arial" w:eastAsia="Arial" w:hAnsi="Arial"/>
          <w:sz w:val="20"/>
          <w:szCs w:val="20"/>
        </w:rPr>
        <w:t xml:space="preserve">25–65 (most ad sets capped at 55)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Geography: </w:t>
      </w:r>
      <w:r>
        <w:rPr>
          <w:rFonts w:ascii="Arial" w:cs="Arial" w:eastAsia="Arial" w:hAnsi="Arial"/>
          <w:sz w:val="20"/>
          <w:szCs w:val="20"/>
        </w:rPr>
        <w:t xml:space="preserve">United States (broad), Georgia (state), California – with locale set to English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Lookalike: </w:t>
      </w:r>
      <w:r>
        <w:rPr>
          <w:rFonts w:ascii="Arial" w:cs="Arial" w:eastAsia="Arial" w:hAnsi="Arial"/>
          <w:sz w:val="20"/>
          <w:szCs w:val="20"/>
        </w:rPr>
        <w:t xml:space="preserve">1% Lookalike based on uploaded US customer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Advantage+: </w:t>
      </w:r>
      <w:r>
        <w:rPr>
          <w:rFonts w:ascii="Arial" w:cs="Arial" w:eastAsia="Arial" w:hAnsi="Arial"/>
          <w:sz w:val="20"/>
          <w:szCs w:val="20"/>
        </w:rPr>
        <w:t xml:space="preserve">Enabled on most ad sets, allowing Meta to expand beyond defined audiences</w:t>
      </w:r>
    </w:p>
    <w:p>
      <w:pPr>
        <w:spacing w:after="60"/>
      </w:pPr>
    </w:p>
    <w:p>
      <w:pPr>
        <w:pBdr>
          <w:bottom w:val="single" w:color="2E86C1" w:sz="3" w:space="4"/>
        </w:pBdr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Recommendations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Scale top performers: </w:t>
      </w:r>
      <w:r>
        <w:rPr>
          <w:rFonts w:ascii="Arial" w:cs="Arial" w:eastAsia="Arial" w:hAnsi="Arial"/>
          <w:sz w:val="20"/>
          <w:szCs w:val="20"/>
        </w:rPr>
        <w:t xml:space="preserve">Increase budget allocation to "BB | 7,6 Mill" and "Stop Leaving Money" creatives, which together account for 64% of all leads at CPLs well below average.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"Track R&amp;D" at scale: </w:t>
      </w:r>
      <w:r>
        <w:rPr>
          <w:rFonts w:ascii="Arial" w:cs="Arial" w:eastAsia="Arial" w:hAnsi="Arial"/>
          <w:sz w:val="20"/>
          <w:szCs w:val="20"/>
        </w:rPr>
        <w:t xml:space="preserve">This control-angle creative shows a remarkable €7.63 CPL on limited spend. Allocate more budget to validate whether this efficiency holds at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Pause underperformers: </w:t>
      </w:r>
      <w:r>
        <w:rPr>
          <w:rFonts w:ascii="Arial" w:cs="Arial" w:eastAsia="Arial" w:hAnsi="Arial"/>
          <w:sz w:val="20"/>
          <w:szCs w:val="20"/>
        </w:rPr>
        <w:t xml:space="preserve">"0 Per Month" (zero leads, €117 spend) and "BB | 750K Claims" (€209.63 CPL) should be paused immediately to redirect budget to winning creatives.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Investigate landing page drop-off: </w:t>
      </w:r>
      <w:r>
        <w:rPr>
          <w:rFonts w:ascii="Arial" w:cs="Arial" w:eastAsia="Arial" w:hAnsi="Arial"/>
          <w:sz w:val="20"/>
          <w:szCs w:val="20"/>
        </w:rPr>
        <w:t xml:space="preserve">Only 24.5% of link clicks convert to landing page views. Run page speed tests, check mobile responsiveness, and consider A/B testing landing page variants.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Continue CBO testing: </w:t>
      </w:r>
      <w:r>
        <w:rPr>
          <w:rFonts w:ascii="Arial" w:cs="Arial" w:eastAsia="Arial" w:hAnsi="Arial"/>
          <w:sz w:val="20"/>
          <w:szCs w:val="20"/>
        </w:rPr>
        <w:t xml:space="preserve">Campaign 2 delivers a lower CPL (€27.00) with Advantage+ targeting. Let Meta’s algorithm continue to optimize delivery across the creative variants.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Monitor frequency: </w:t>
      </w:r>
      <w:r>
        <w:rPr>
          <w:rFonts w:ascii="Arial" w:cs="Arial" w:eastAsia="Arial" w:hAnsi="Arial"/>
          <w:sz w:val="20"/>
          <w:szCs w:val="20"/>
        </w:rPr>
        <w:t xml:space="preserve">At 2.41 frequency, the account is still in a healthy zone but approaching the point where creative fatigue may begin. Plan to rotate in new creatives within the next 2–3 weeks.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Expand Georgia targeting: </w:t>
      </w:r>
      <w:r>
        <w:rPr>
          <w:rFonts w:ascii="Arial" w:cs="Arial" w:eastAsia="Arial" w:hAnsi="Arial"/>
          <w:sz w:val="20"/>
          <w:szCs w:val="20"/>
        </w:rPr>
        <w:t xml:space="preserve">The Georgia ad set shows a competitive €28.46 CPL at low CPM (€9.69). Consider adding more creatives to this ad set to increase volume.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2E86C1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Report generated via GoMarble AI · February 25,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Innoscripta | Meta Ads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2026-02-25T11:56:44.916Z</dcterms:created>
  <dcterms:modified xsi:type="dcterms:W3CDTF">2026-02-25T11:56:44.917Z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