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478"/>
          <w:sz w:val="50"/>
        </w:rPr>
        <w:t>PayPal Checkout Performance</w:t>
      </w:r>
    </w:p>
    <w:p>
      <w:pPr>
        <w:jc w:val="center"/>
      </w:pPr>
      <w:r>
        <w:rPr>
          <w:b/>
          <w:color w:val="0087D2"/>
          <w:sz w:val="32"/>
        </w:rPr>
        <w:t>Business Insights &amp; Recommendations</w:t>
      </w:r>
    </w:p>
    <w:p>
      <w:pPr>
        <w:jc w:val="center"/>
      </w:pPr>
      <w:r>
        <w:rPr>
          <w:i/>
        </w:rPr>
        <w:t>Portfolio case study | SQL analysis + Power BI dashboard</w:t>
      </w:r>
    </w:p>
    <w:p>
      <w:pPr>
        <w:pStyle w:val="Heading1"/>
      </w:pPr>
      <w:r>
        <w:t>1. Executive Summary</w:t>
      </w:r>
    </w:p>
    <w:p>
      <w:r>
        <w:t>This case study explores checkout funnel performance, payment authorization, device differences, and checkout-version differences using a synthetic dataset of 5,000 checkout sessions. A total of 2,037 sessions completed a purchase, and checkout completion was 77.75% among sessions that started checkout. In the simulated data, the redesigned checkout version has a higher completion rate than the standard version. These patterns demonstrate analytical methods and help frame follow-up questions, but they are not evidence of PayPal's actual transaction performance.</w:t>
      </w:r>
    </w:p>
    <w:p>
      <w:pPr>
        <w:pStyle w:val="Heading1"/>
      </w:pPr>
      <w:r>
        <w:t>2. Key Findings</w:t>
      </w:r>
    </w:p>
    <w:p>
      <w:pPr>
        <w:pStyle w:val="Heading2"/>
      </w:pPr>
      <w:r>
        <w:t>Checkout funnel</w:t>
      </w:r>
    </w:p>
    <w:p>
      <w:r>
        <w:t>Of 5,000 synthetic sessions, 3,628 created a cart, 2,620 started checkout, 2,219 attempted payment, and 2,037 completed a purchase. The count decline is largest between product views and cart creation (1,372 sessions), followed by cart creation and checkout start (1,008 sessions). These are modeled stage-count differences, not verified PayPal customer drop-off.</w:t>
      </w:r>
    </w:p>
    <w:p>
      <w:pPr>
        <w:pStyle w:val="Heading2"/>
      </w:pPr>
      <w:r>
        <w:t>Checkout completion</w:t>
      </w:r>
    </w:p>
    <w:p>
      <w:r>
        <w:t>2,037 purchases ÷ 2,620 checkout starts = 77.75%. This uses checkout starts as the denominator. Purchases divided by all sessions is 40.74%, a different metric.</w:t>
      </w:r>
    </w:p>
    <w:p>
      <w:pPr>
        <w:pStyle w:val="Heading2"/>
      </w:pPr>
      <w:r>
        <w:t>Checkout version</w:t>
      </w:r>
    </w:p>
    <w:p>
      <w:r>
        <w:t>Redesigned: 898 purchases from 1,086 checkout starts (82.69%). Standard: 1,139 purchases from 1,534 starts (74.25%). The 8.44 percentage-point difference is descriptive only and does not prove the redesign caused the difference.</w:t>
      </w:r>
    </w:p>
    <w:p>
      <w:pPr>
        <w:pStyle w:val="Heading2"/>
      </w:pPr>
      <w:r>
        <w:t>Device</w:t>
      </w:r>
    </w:p>
    <w:p>
      <w:r>
        <w:t>Mobile: 1,193/1,529 = 78.02%; desktop: 745/961 = 77.52%; tablet: 99/130 = 76.15%. Differences are small, and the tablet sample is much smaller.</w:t>
      </w:r>
    </w:p>
    <w:p>
      <w:pPr>
        <w:pStyle w:val="Heading2"/>
      </w:pPr>
      <w:r>
        <w:t>Payment authorization</w:t>
      </w:r>
    </w:p>
    <w:p>
      <w:r>
        <w:t>There were 2,219 payment attempts and 2,037 authorized payments, for a 91.80% overall authorization rate. Synthetic failure categories include issuer declines, technical errors, and authentication failures.</w:t>
      </w:r>
    </w:p>
    <w:p>
      <w:pPr>
        <w:pStyle w:val="Heading2"/>
      </w:pPr>
      <w:r>
        <w:t>BNPL exposure</w:t>
      </w:r>
    </w:p>
    <w:p>
      <w:r>
        <w:t>Eligible sessions exposed to BNPL show 76.73% completion versus 77.91% for eligible sessions not exposed, a -1.18 percentage-point difference in the synthetic dataset. This does not show that BNPL reduces conversion: exposure may not be random, sample sizes differ, and the data is simulated.</w:t>
      </w:r>
    </w:p>
    <w:p>
      <w:pPr>
        <w:pStyle w:val="Heading1"/>
      </w:pPr>
      <w:r>
        <w:t>3. Business Recommendations</w:t>
      </w:r>
    </w:p>
    <w:p>
      <w:pPr>
        <w:pStyle w:val="Heading2"/>
      </w:pPr>
      <w:r>
        <w:t>Validate the redesigned checkout with an experiment</w:t>
      </w:r>
    </w:p>
    <w:p>
      <w:r>
        <w:t>Run a randomized A/B test with comparable eligible users. Predefine checkout completion as the primary metric and monitor authorization rate, error rate, latency, and support contacts as guardrails. Report sample sizes and confidence intervals.</w:t>
      </w:r>
    </w:p>
    <w:p>
      <w:pPr>
        <w:pStyle w:val="Heading2"/>
      </w:pPr>
      <w:r>
        <w:t>Investigate the funnel by stage</w:t>
      </w:r>
    </w:p>
    <w:p>
      <w:r>
        <w:t>Track product view, cart creation, checkout start, payment attempt, authorization, and purchase completion consistently. Segment transitions by device, merchant category, customer type, and checkout version. Validate event definitions and deduplicate sessions.</w:t>
      </w:r>
    </w:p>
    <w:p>
      <w:pPr>
        <w:pStyle w:val="Heading2"/>
      </w:pPr>
      <w:r>
        <w:t>Diagnose payment failures</w:t>
      </w:r>
    </w:p>
    <w:p>
      <w:r>
        <w:t>Break outcomes down by failure category, payment method, device, and time. Distinguish issuer declines from technical and authentication errors because they may need different fixes.</w:t>
      </w:r>
    </w:p>
    <w:p>
      <w:pPr>
        <w:pStyle w:val="Heading2"/>
      </w:pPr>
      <w:r>
        <w:t>Review mobile and tablet usability</w:t>
      </w:r>
    </w:p>
    <w:p>
      <w:r>
        <w:t>Use real-device testing to investigate form friction, page performance, and authentication. Treat tablet results cautiously until more real observations are available.</w:t>
      </w:r>
    </w:p>
    <w:p>
      <w:pPr>
        <w:pStyle w:val="Heading2"/>
      </w:pPr>
      <w:r>
        <w:t>Evaluate BNPL placement through controlled testing</w:t>
      </w:r>
    </w:p>
    <w:p>
      <w:r>
        <w:t>Test earlier BNPL messaging only with a clear hypothesis and eligible audience. Measure incremental completion, average order value, refunds/returns, and relevant customer and compliance guardrails. Do not claim an actual BNPL effect from the synthetic comparison.</w:t>
      </w:r>
    </w:p>
    <w:p>
      <w:pPr>
        <w:pStyle w:val="Heading1"/>
      </w:pPr>
      <w:r>
        <w:t>4. Measurement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Definition</w:t>
            </w:r>
          </w:p>
        </w:tc>
        <w:tc>
          <w:tcPr>
            <w:tcW w:type="dxa" w:w="3312"/>
          </w:tcPr>
          <w:p>
            <w:r>
              <w:t>Purpose</w:t>
            </w:r>
          </w:p>
        </w:tc>
      </w:tr>
      <w:tr>
        <w:tc>
          <w:tcPr>
            <w:tcW w:type="dxa" w:w="3312"/>
          </w:tcPr>
          <w:p>
            <w:r>
              <w:t>Checkout completion</w:t>
            </w:r>
          </w:p>
        </w:tc>
        <w:tc>
          <w:tcPr>
            <w:tcW w:type="dxa" w:w="3312"/>
          </w:tcPr>
          <w:p>
            <w:r>
              <w:t>Completed purchases ÷ checkout starts</w:t>
            </w:r>
          </w:p>
        </w:tc>
        <w:tc>
          <w:tcPr>
            <w:tcW w:type="dxa" w:w="3312"/>
          </w:tcPr>
          <w:p>
            <w:r>
              <w:t>Measures checkout flow completion.</w:t>
            </w:r>
          </w:p>
        </w:tc>
      </w:tr>
      <w:tr>
        <w:tc>
          <w:tcPr>
            <w:tcW w:type="dxa" w:w="3312"/>
          </w:tcPr>
          <w:p>
            <w:r>
              <w:t>Payment authorization</w:t>
            </w:r>
          </w:p>
        </w:tc>
        <w:tc>
          <w:tcPr>
            <w:tcW w:type="dxa" w:w="3312"/>
          </w:tcPr>
          <w:p>
            <w:r>
              <w:t>Authorized payments ÷ payment attempts</w:t>
            </w:r>
          </w:p>
        </w:tc>
        <w:tc>
          <w:tcPr>
            <w:tcW w:type="dxa" w:w="3312"/>
          </w:tcPr>
          <w:p>
            <w:r>
              <w:t>Separates payment approval issues from earlier funnel friction.</w:t>
            </w:r>
          </w:p>
        </w:tc>
      </w:tr>
      <w:tr>
        <w:tc>
          <w:tcPr>
            <w:tcW w:type="dxa" w:w="3312"/>
          </w:tcPr>
          <w:p>
            <w:r>
              <w:t>Stage conversion</w:t>
            </w:r>
          </w:p>
        </w:tc>
        <w:tc>
          <w:tcPr>
            <w:tcW w:type="dxa" w:w="3312"/>
          </w:tcPr>
          <w:p>
            <w:r>
              <w:t>Sessions reaching next stage ÷ sessions reaching prior stage</w:t>
            </w:r>
          </w:p>
        </w:tc>
        <w:tc>
          <w:tcPr>
            <w:tcW w:type="dxa" w:w="3312"/>
          </w:tcPr>
          <w:p>
            <w:r>
              <w:t>Locates funnel friction.</w:t>
            </w:r>
          </w:p>
        </w:tc>
      </w:tr>
      <w:tr>
        <w:tc>
          <w:tcPr>
            <w:tcW w:type="dxa" w:w="3312"/>
          </w:tcPr>
          <w:p>
            <w:r>
              <w:t>Technical failure rate</w:t>
            </w:r>
          </w:p>
        </w:tc>
        <w:tc>
          <w:tcPr>
            <w:tcW w:type="dxa" w:w="3312"/>
          </w:tcPr>
          <w:p>
            <w:r>
              <w:t>Technical errors ÷ payment attempts</w:t>
            </w:r>
          </w:p>
        </w:tc>
        <w:tc>
          <w:tcPr>
            <w:tcW w:type="dxa" w:w="3312"/>
          </w:tcPr>
          <w:p>
            <w:r>
              <w:t>Tracks potentially addressable engineering issues.</w:t>
            </w:r>
          </w:p>
        </w:tc>
      </w:tr>
      <w:tr>
        <w:tc>
          <w:tcPr>
            <w:tcW w:type="dxa" w:w="3312"/>
          </w:tcPr>
          <w:p>
            <w:r>
              <w:t>Average order value</w:t>
            </w:r>
          </w:p>
        </w:tc>
        <w:tc>
          <w:tcPr>
            <w:tcW w:type="dxa" w:w="3312"/>
          </w:tcPr>
          <w:p>
            <w:r>
              <w:t>Total order value ÷ completed purchases</w:t>
            </w:r>
          </w:p>
        </w:tc>
        <w:tc>
          <w:tcPr>
            <w:tcW w:type="dxa" w:w="3312"/>
          </w:tcPr>
          <w:p>
            <w:r>
              <w:t>Checks whether conversion changes affect transaction value.</w:t>
            </w:r>
          </w:p>
        </w:tc>
      </w:tr>
      <w:tr>
        <w:tc>
          <w:tcPr>
            <w:tcW w:type="dxa" w:w="3312"/>
          </w:tcPr>
          <w:p>
            <w:r>
              <w:t>Experiment lift</w:t>
            </w:r>
          </w:p>
        </w:tc>
        <w:tc>
          <w:tcPr>
            <w:tcW w:type="dxa" w:w="3312"/>
          </w:tcPr>
          <w:p>
            <w:r>
              <w:t>Treatment rate minus control rate, with uncertainty interval</w:t>
            </w:r>
          </w:p>
        </w:tc>
        <w:tc>
          <w:tcPr>
            <w:tcW w:type="dxa" w:w="3312"/>
          </w:tcPr>
          <w:p>
            <w:r>
              <w:t>Assesses whether a change likely improves outcomes.</w:t>
            </w:r>
          </w:p>
        </w:tc>
      </w:tr>
    </w:tbl>
    <w:p>
      <w:pPr>
        <w:pStyle w:val="Heading1"/>
      </w:pPr>
      <w:r>
        <w:t>5. Limitations &amp; Responsible Interpretation</w:t>
      </w:r>
    </w:p>
    <w:p>
      <w:pPr>
        <w:pStyle w:val="ListBullet"/>
      </w:pPr>
      <w:r>
        <w:t>All session-level records used in the Power BI dashboard are synthetic and created for portfolio practice.</w:t>
      </w:r>
    </w:p>
    <w:p>
      <w:pPr>
        <w:pStyle w:val="ListBullet"/>
      </w:pPr>
      <w:r>
        <w:t>Do not present these percentages as PayPal's actual performance or as independent validation of company claims.</w:t>
      </w:r>
    </w:p>
    <w:p>
      <w:pPr>
        <w:pStyle w:val="ListBullet"/>
      </w:pPr>
      <w:r>
        <w:t>Checkout-version differences are observational in this dataset and do not establish causation.</w:t>
      </w:r>
    </w:p>
    <w:p>
      <w:pPr>
        <w:pStyle w:val="ListBullet"/>
      </w:pPr>
      <w:r>
        <w:t>The small BNPL payment-method sample and smaller tablet group limit interpretation.</w:t>
      </w:r>
    </w:p>
    <w:p>
      <w:pPr>
        <w:pStyle w:val="ListBullet"/>
      </w:pPr>
      <w:r>
        <w:t>Public company statements in the separate evidence brief should be attributed to their source and date; company-reported claims are not the same as independently validated results.</w:t>
      </w:r>
    </w:p>
    <w:p>
      <w:pPr>
        <w:pStyle w:val="Heading1"/>
      </w:pPr>
      <w:r>
        <w:t>6. Suggested Portfolio Summary</w:t>
      </w:r>
    </w:p>
    <w:p>
      <w:r>
        <w:t>Analyzed a synthetic 5,000-session checkout dataset using SQL and Power BI to build a checkout funnel, compare device and checkout-version completion, and examine payment authorization and BNPL exposure. Translated the findings into testable hypotheses, measurement definitions, and recommendations, while documenting data limitations and the need for controlled experimentation.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Portfolio case study | Synthetic data — not actual PayPal transaction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44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44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44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