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AD"/>
          <w:sz w:val="22"/>
        </w:rPr>
        <w:t>PAYPAL BRANDED CHECKOUT</w:t>
      </w:r>
    </w:p>
    <w:p>
      <w:pPr>
        <w:pStyle w:val="Title"/>
        <w:jc w:val="center"/>
      </w:pPr>
      <w:r>
        <w:t>Business Problem &amp; Evidence Brief</w:t>
      </w:r>
    </w:p>
    <w:p>
      <w:pPr>
        <w:jc w:val="center"/>
      </w:pPr>
      <w:r>
        <w:rPr>
          <w:i/>
          <w:sz w:val="18"/>
        </w:rPr>
        <w:t>Independent Business Analyst Portfolio Case Study | Research baseline: FY2025 results released February 3, 2026</w:t>
      </w:r>
    </w:p>
    <w:p>
      <w:pPr>
        <w:pStyle w:val="Heading1"/>
      </w:pPr>
      <w:r>
        <w:t>1. Project context</w:t>
      </w:r>
    </w:p>
    <w:p>
      <w:r>
        <w:t>This independent case study investigates publicly reported challenges and improvement opportunities in PayPal's online branded checkout business. The objective is to translate public evidence into testable business questions, identify the data needed to investigate potential causes, and propose measurable improvements. This is not work performed for or endorsed by PayPal, and no access to PayPal's internal systems or transaction data is claimed.</w:t>
      </w:r>
    </w:p>
    <w:p>
      <w:pPr>
        <w:pStyle w:val="Heading1"/>
      </w:pPr>
      <w:r>
        <w:t>2. Business problem statement</w:t>
      </w:r>
    </w:p>
    <w:p>
      <w:r>
        <w:t>PayPal reported that online branded checkout performance in Q4 2025 was below expectations. Management described a combination of softer retail conditions in the U.S., international headwinds, slower growth in several verticals, and operational/deployment issues. Management also identified opportunities related to checkout experience, authentication readiness, payment-option placement, and merchant implementation support.</w:t>
      </w:r>
    </w:p>
    <w:p>
      <w:r>
        <w:t>Business analysis question: How can PayPal prioritize checkout experience and merchant implementation improvements using funnel, segment, and experiment data to improve branded checkout conversion and transaction volume?</w:t>
      </w:r>
    </w:p>
    <w:p>
      <w:pPr>
        <w:pStyle w:val="Heading1"/>
      </w:pPr>
      <w:r>
        <w:t>3. Public evidence log</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6"/>
              </w:rPr>
              <w:t>ID / theme</w:t>
            </w:r>
          </w:p>
        </w:tc>
        <w:tc>
          <w:tcPr>
            <w:tcW w:type="dxa" w:w="2484"/>
          </w:tcPr>
          <w:p>
            <w:r>
              <w:rPr>
                <w:b/>
                <w:sz w:val="16"/>
              </w:rPr>
              <w:t>Publicly reported evidence</w:t>
            </w:r>
          </w:p>
        </w:tc>
        <w:tc>
          <w:tcPr>
            <w:tcW w:type="dxa" w:w="2484"/>
          </w:tcPr>
          <w:p>
            <w:r>
              <w:rPr>
                <w:b/>
                <w:sz w:val="16"/>
              </w:rPr>
              <w:t>Business implication / caveat</w:t>
            </w:r>
          </w:p>
        </w:tc>
        <w:tc>
          <w:tcPr>
            <w:tcW w:type="dxa" w:w="2484"/>
          </w:tcPr>
          <w:p>
            <w:r>
              <w:rPr>
                <w:b/>
                <w:sz w:val="16"/>
              </w:rPr>
              <w:t>Source</w:t>
            </w:r>
          </w:p>
        </w:tc>
      </w:tr>
      <w:tr>
        <w:tc>
          <w:tcPr>
            <w:tcW w:type="dxa" w:w="2484"/>
            <w:vAlign w:val="top"/>
          </w:tcPr>
          <w:p>
            <w:r>
              <w:rPr>
                <w:sz w:val="15"/>
              </w:rPr>
              <w:t>E1 — Reported performance</w:t>
            </w:r>
          </w:p>
        </w:tc>
        <w:tc>
          <w:tcPr>
            <w:tcW w:type="dxa" w:w="2484"/>
            <w:vAlign w:val="top"/>
          </w:tcPr>
          <w:p>
            <w:r>
              <w:rPr>
                <w:sz w:val="15"/>
              </w:rPr>
              <w:t>Q4 2025 online branded checkout total payment volume (TPV) grew 1% year over year on a currency-neutral basis, down from 5% growth in Q3 2025.</w:t>
            </w:r>
          </w:p>
        </w:tc>
        <w:tc>
          <w:tcPr>
            <w:tcW w:type="dxa" w:w="2484"/>
            <w:vAlign w:val="top"/>
          </w:tcPr>
          <w:p>
            <w:r>
              <w:rPr>
                <w:sz w:val="15"/>
              </w:rPr>
              <w:t>Signals deceleration in growth; TPV is not the same as conversion rate.</w:t>
            </w:r>
          </w:p>
        </w:tc>
        <w:tc>
          <w:tcPr>
            <w:tcW w:type="dxa" w:w="2484"/>
            <w:vAlign w:val="top"/>
          </w:tcPr>
          <w:p>
            <w:r>
              <w:rPr>
                <w:sz w:val="15"/>
              </w:rPr>
              <w:t>PayPal Q4 2025 earnings call transcript, Feb. 3, 2026.</w:t>
            </w:r>
          </w:p>
        </w:tc>
      </w:tr>
      <w:tr>
        <w:tc>
          <w:tcPr>
            <w:tcW w:type="dxa" w:w="2484"/>
            <w:vAlign w:val="top"/>
          </w:tcPr>
          <w:p>
            <w:r>
              <w:rPr>
                <w:sz w:val="15"/>
              </w:rPr>
              <w:t>E2 — Management's explanation</w:t>
            </w:r>
          </w:p>
        </w:tc>
        <w:tc>
          <w:tcPr>
            <w:tcW w:type="dxa" w:w="2484"/>
            <w:vAlign w:val="top"/>
          </w:tcPr>
          <w:p>
            <w:r>
              <w:rPr>
                <w:sz w:val="15"/>
              </w:rPr>
              <w:t>Management cited U.S. retail weakness, international headwinds (particularly Germany), slower growth in selected verticals, and operational/deployment issues.</w:t>
            </w:r>
          </w:p>
        </w:tc>
        <w:tc>
          <w:tcPr>
            <w:tcW w:type="dxa" w:w="2484"/>
            <w:vAlign w:val="top"/>
          </w:tcPr>
          <w:p>
            <w:r>
              <w:rPr>
                <w:sz w:val="15"/>
              </w:rPr>
              <w:t>Analysis must distinguish external market effects from controllable product and implementation factors.</w:t>
            </w:r>
          </w:p>
        </w:tc>
        <w:tc>
          <w:tcPr>
            <w:tcW w:type="dxa" w:w="2484"/>
            <w:vAlign w:val="top"/>
          </w:tcPr>
          <w:p>
            <w:r>
              <w:rPr>
                <w:sz w:val="15"/>
              </w:rPr>
              <w:t>PayPal Q4 2025 earnings call transcript, Feb. 3, 2026.</w:t>
            </w:r>
          </w:p>
        </w:tc>
      </w:tr>
      <w:tr>
        <w:tc>
          <w:tcPr>
            <w:tcW w:type="dxa" w:w="2484"/>
            <w:vAlign w:val="top"/>
          </w:tcPr>
          <w:p>
            <w:r>
              <w:rPr>
                <w:sz w:val="15"/>
              </w:rPr>
              <w:t>E3 — Deployment coverage</w:t>
            </w:r>
          </w:p>
        </w:tc>
        <w:tc>
          <w:tcPr>
            <w:tcW w:type="dxa" w:w="2484"/>
            <w:vAlign w:val="top"/>
          </w:tcPr>
          <w:p>
            <w:r>
              <w:rPr>
                <w:sz w:val="15"/>
              </w:rPr>
              <w:t>The redesigned paysheet covered more than 30% of global checkout transactions; management said adoption across existing traffic remained incomplete.</w:t>
            </w:r>
          </w:p>
        </w:tc>
        <w:tc>
          <w:tcPr>
            <w:tcW w:type="dxa" w:w="2484"/>
            <w:vAlign w:val="top"/>
          </w:tcPr>
          <w:p>
            <w:r>
              <w:rPr>
                <w:sz w:val="15"/>
              </w:rPr>
              <w:t>Measure performance and adoption by merchant, device, and checkout experience version.</w:t>
            </w:r>
          </w:p>
        </w:tc>
        <w:tc>
          <w:tcPr>
            <w:tcW w:type="dxa" w:w="2484"/>
            <w:vAlign w:val="top"/>
          </w:tcPr>
          <w:p>
            <w:r>
              <w:rPr>
                <w:sz w:val="15"/>
              </w:rPr>
              <w:t>PayPal Q4 2025 earnings call transcript, Feb. 3, 2026.</w:t>
            </w:r>
          </w:p>
        </w:tc>
      </w:tr>
      <w:tr>
        <w:tc>
          <w:tcPr>
            <w:tcW w:type="dxa" w:w="2484"/>
            <w:vAlign w:val="top"/>
          </w:tcPr>
          <w:p>
            <w:r>
              <w:rPr>
                <w:sz w:val="15"/>
              </w:rPr>
              <w:t>E4 — Authentication readiness</w:t>
            </w:r>
          </w:p>
        </w:tc>
        <w:tc>
          <w:tcPr>
            <w:tcW w:type="dxa" w:w="2484"/>
            <w:vAlign w:val="top"/>
          </w:tcPr>
          <w:p>
            <w:r>
              <w:rPr>
                <w:sz w:val="15"/>
              </w:rPr>
              <w:t>About 36% of consumers were described as checkout-ready with biometric authentication in the app or a device passkey; management's goal was to approach 50% by year-end 2026.</w:t>
            </w:r>
          </w:p>
        </w:tc>
        <w:tc>
          <w:tcPr>
            <w:tcW w:type="dxa" w:w="2484"/>
            <w:vAlign w:val="top"/>
          </w:tcPr>
          <w:p>
            <w:r>
              <w:rPr>
                <w:sz w:val="15"/>
              </w:rPr>
              <w:t>Investigate the relationship between authentication readiness, checkout completion, and repeat use; do not assume causation from the public statement alone.</w:t>
            </w:r>
          </w:p>
        </w:tc>
        <w:tc>
          <w:tcPr>
            <w:tcW w:type="dxa" w:w="2484"/>
            <w:vAlign w:val="top"/>
          </w:tcPr>
          <w:p>
            <w:r>
              <w:rPr>
                <w:sz w:val="15"/>
              </w:rPr>
              <w:t>PayPal Q4 2025 earnings call transcript, Feb. 3, 2026.</w:t>
            </w:r>
          </w:p>
        </w:tc>
      </w:tr>
      <w:tr>
        <w:tc>
          <w:tcPr>
            <w:tcW w:type="dxa" w:w="2484"/>
            <w:vAlign w:val="top"/>
          </w:tcPr>
          <w:p>
            <w:r>
              <w:rPr>
                <w:sz w:val="15"/>
              </w:rPr>
              <w:t>E5 — Payment-option placement</w:t>
            </w:r>
          </w:p>
        </w:tc>
        <w:tc>
          <w:tcPr>
            <w:tcW w:type="dxa" w:w="2484"/>
            <w:vAlign w:val="top"/>
          </w:tcPr>
          <w:p>
            <w:r>
              <w:rPr>
                <w:sz w:val="15"/>
              </w:rPr>
              <w:t>Management said BNPL messaging was visible on less than 15% of traffic and reported more than a 10% lift in branded checkout volume when BNPL was presented earlier with a second payment button.</w:t>
            </w:r>
          </w:p>
        </w:tc>
        <w:tc>
          <w:tcPr>
            <w:tcW w:type="dxa" w:w="2484"/>
            <w:vAlign w:val="top"/>
          </w:tcPr>
          <w:p>
            <w:r>
              <w:rPr>
                <w:sz w:val="15"/>
              </w:rPr>
              <w:t>Potential test: compare eligible, comparable merchant cohorts with different placement; clarify metric definitions and experimental design.</w:t>
            </w:r>
          </w:p>
        </w:tc>
        <w:tc>
          <w:tcPr>
            <w:tcW w:type="dxa" w:w="2484"/>
            <w:vAlign w:val="top"/>
          </w:tcPr>
          <w:p>
            <w:r>
              <w:rPr>
                <w:sz w:val="15"/>
              </w:rPr>
              <w:t>PayPal Q4 2025 earnings call transcript, Feb. 3, 2026.</w:t>
            </w:r>
          </w:p>
        </w:tc>
      </w:tr>
      <w:tr>
        <w:tc>
          <w:tcPr>
            <w:tcW w:type="dxa" w:w="2484"/>
            <w:vAlign w:val="top"/>
          </w:tcPr>
          <w:p>
            <w:r>
              <w:rPr>
                <w:sz w:val="15"/>
              </w:rPr>
              <w:t>E6 — Consumer checkout friction</w:t>
            </w:r>
          </w:p>
        </w:tc>
        <w:tc>
          <w:tcPr>
            <w:tcW w:type="dxa" w:w="2484"/>
            <w:vAlign w:val="top"/>
          </w:tcPr>
          <w:p>
            <w:r>
              <w:rPr>
                <w:sz w:val="15"/>
              </w:rPr>
              <w:t>PayPal's article summarizing a commissioned 2025 Forrester study reported that 73% of surveyed respondents considered a checkout with as few steps as possible important or extremely important.</w:t>
            </w:r>
          </w:p>
        </w:tc>
        <w:tc>
          <w:tcPr>
            <w:tcW w:type="dxa" w:w="2484"/>
            <w:vAlign w:val="top"/>
          </w:tcPr>
          <w:p>
            <w:r>
              <w:rPr>
                <w:sz w:val="15"/>
              </w:rPr>
              <w:t>Supports investigating friction, but survey perceptions are not PayPal's own funnel data and may not represent all U.S. shoppers.</w:t>
            </w:r>
          </w:p>
        </w:tc>
        <w:tc>
          <w:tcPr>
            <w:tcW w:type="dxa" w:w="2484"/>
            <w:vAlign w:val="top"/>
          </w:tcPr>
          <w:p>
            <w:r>
              <w:rPr>
                <w:sz w:val="15"/>
              </w:rPr>
              <w:t>PayPal, 'How PayPal Accelerated Checkout Helps Reduce Cart Abandonment and Increase Sales'.</w:t>
            </w:r>
          </w:p>
        </w:tc>
      </w:tr>
    </w:tbl>
    <w:p>
      <w:pPr>
        <w:pStyle w:val="Heading1"/>
      </w:pPr>
      <w:r>
        <w:t>4. Initial interpretation</w:t>
      </w:r>
    </w:p>
    <w:p>
      <w:pPr>
        <w:pStyle w:val="ListBullet"/>
      </w:pPr>
      <w:r>
        <w:t>The most defensible problem is not simply 'customers abandon checkout.' Public reporting specifically identifies branded checkout growth deceleration and execution/deployment challenges.</w:t>
      </w:r>
    </w:p>
    <w:p>
      <w:pPr>
        <w:pStyle w:val="ListBullet"/>
      </w:pPr>
      <w:r>
        <w:t>The opportunity spans three connected areas: experience (including authentication and checkout design), presentment (how prominently payment options are shown), and merchant implementation/adoption.</w:t>
      </w:r>
    </w:p>
    <w:p>
      <w:pPr>
        <w:pStyle w:val="ListBullet"/>
      </w:pPr>
      <w:r>
        <w:t>Public data provides a strong problem frame but not the event-level evidence required to identify the highest-impact root cause for each merchant or customer segment.</w:t>
      </w:r>
    </w:p>
    <w:p>
      <w:pPr>
        <w:pStyle w:val="ListBullet"/>
      </w:pPr>
      <w:r>
        <w:t>We should avoid adding every possible feature. The analysis should prioritize opportunities by expected impact, implementation effort, risk, and the strength of supporting evidence.</w:t>
      </w:r>
    </w:p>
    <w:p>
      <w:pPr>
        <w:pStyle w:val="Heading1"/>
      </w:pPr>
      <w:r>
        <w:t>5. Hypotheses to test (not established facts)</w:t>
      </w:r>
    </w:p>
    <w:p>
      <w:pPr>
        <w:pStyle w:val="ListBullet"/>
      </w:pPr>
      <w:r>
        <w:rPr>
          <w:b/>
        </w:rPr>
        <w:t xml:space="preserve">H1: </w:t>
      </w:r>
      <w:r>
        <w:t>Checkout completion differs between users who are authentication-ready and users who are not, after controlling for relevant segment differences.</w:t>
      </w:r>
    </w:p>
    <w:p>
      <w:pPr>
        <w:pStyle w:val="ListBullet"/>
      </w:pPr>
      <w:r>
        <w:rPr>
          <w:b/>
        </w:rPr>
        <w:t xml:space="preserve">H2: </w:t>
      </w:r>
      <w:r>
        <w:t>Checkout redesigns have greater impact when deployed together with biometric/passkey enablement than when deployed alone.</w:t>
      </w:r>
    </w:p>
    <w:p>
      <w:pPr>
        <w:pStyle w:val="ListBullet"/>
      </w:pPr>
      <w:r>
        <w:rPr>
          <w:b/>
        </w:rPr>
        <w:t xml:space="preserve">H3: </w:t>
      </w:r>
      <w:r>
        <w:t>Earlier and more prominent presentation of eligible payment options is associated with improved selection and checkout outcomes.</w:t>
      </w:r>
    </w:p>
    <w:p>
      <w:pPr>
        <w:pStyle w:val="ListBullet"/>
      </w:pPr>
      <w:r>
        <w:rPr>
          <w:b/>
        </w:rPr>
        <w:t xml:space="preserve">H4: </w:t>
      </w:r>
      <w:r>
        <w:t>Merchant implementation delays and uneven adoption reduce the overall impact of checkout improvements.</w:t>
      </w:r>
    </w:p>
    <w:p>
      <w:pPr>
        <w:pStyle w:val="ListBullet"/>
      </w:pPr>
      <w:r>
        <w:rPr>
          <w:b/>
        </w:rPr>
        <w:t xml:space="preserve">H5: </w:t>
      </w:r>
      <w:r>
        <w:t>Effects vary by device, merchant category, customer type, geography, and transaction value.</w:t>
      </w:r>
    </w:p>
    <w:p>
      <w:pPr>
        <w:pStyle w:val="Heading1"/>
      </w:pPr>
      <w:r>
        <w:t>6. Business questions our analysis must answer</w:t>
      </w:r>
    </w:p>
    <w:p>
      <w:pPr>
        <w:pStyle w:val="ListNumber"/>
      </w:pPr>
      <w:r>
        <w:t>At which checkout step is the largest measurable drop-off occurring?</w:t>
      </w:r>
    </w:p>
    <w:p>
      <w:pPr>
        <w:pStyle w:val="ListNumber"/>
      </w:pPr>
      <w:r>
        <w:t>How do checkout-start, payment-selection, payment-attempt, authorization, and completion rates vary by device and merchant segment?</w:t>
      </w:r>
    </w:p>
    <w:p>
      <w:pPr>
        <w:pStyle w:val="ListNumber"/>
      </w:pPr>
      <w:r>
        <w:t>What is the adoption and coverage of the redesigned checkout experience by merchant and traffic volume?</w:t>
      </w:r>
    </w:p>
    <w:p>
      <w:pPr>
        <w:pStyle w:val="ListNumber"/>
      </w:pPr>
      <w:r>
        <w:t>What share of eligible sessions have biometric/passkey readiness, and how does completion differ across readiness cohorts?</w:t>
      </w:r>
    </w:p>
    <w:p>
      <w:pPr>
        <w:pStyle w:val="ListNumber"/>
      </w:pPr>
      <w:r>
        <w:t>What happens to conversion, average order value, and TPV when payment-option placement changes?</w:t>
      </w:r>
    </w:p>
    <w:p>
      <w:pPr>
        <w:pStyle w:val="ListNumber"/>
      </w:pPr>
      <w:r>
        <w:t>Which merchants or segments offer the highest potential impact relative to implementation effort?</w:t>
      </w:r>
    </w:p>
    <w:p>
      <w:pPr>
        <w:pStyle w:val="ListNumber"/>
      </w:pPr>
      <w:r>
        <w:t>What guardrail metrics must not worsen (e.g., fraud, chargebacks, latency, customer complaints, payment cost)?</w:t>
      </w:r>
    </w:p>
    <w:p>
      <w:pPr>
        <w:pStyle w:val="Heading1"/>
      </w:pPr>
      <w:r>
        <w:t>7. Data required for a proper investigation</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Data area</w:t>
            </w:r>
          </w:p>
        </w:tc>
        <w:tc>
          <w:tcPr>
            <w:tcW w:type="dxa" w:w="4968"/>
          </w:tcPr>
          <w:p>
            <w:r>
              <w:rPr>
                <w:b/>
              </w:rPr>
              <w:t>Fields / measures to request</w:t>
            </w:r>
          </w:p>
        </w:tc>
      </w:tr>
      <w:tr>
        <w:tc>
          <w:tcPr>
            <w:tcW w:type="dxa" w:w="4968"/>
          </w:tcPr>
          <w:p>
            <w:r>
              <w:t>Checkout events</w:t>
            </w:r>
          </w:p>
        </w:tc>
        <w:tc>
          <w:tcPr>
            <w:tcW w:type="dxa" w:w="4968"/>
          </w:tcPr>
          <w:p>
            <w:r>
              <w:t>Session ID, event timestamp, step name, device, browser/app, checkout version</w:t>
            </w:r>
          </w:p>
        </w:tc>
      </w:tr>
      <w:tr>
        <w:tc>
          <w:tcPr>
            <w:tcW w:type="dxa" w:w="4968"/>
          </w:tcPr>
          <w:p>
            <w:r>
              <w:t>Payment outcomes</w:t>
            </w:r>
          </w:p>
        </w:tc>
        <w:tc>
          <w:tcPr>
            <w:tcW w:type="dxa" w:w="4968"/>
          </w:tcPr>
          <w:p>
            <w:r>
              <w:t>Payment method, attempt status, authorization result, error code, completion flag</w:t>
            </w:r>
          </w:p>
        </w:tc>
      </w:tr>
      <w:tr>
        <w:tc>
          <w:tcPr>
            <w:tcW w:type="dxa" w:w="4968"/>
          </w:tcPr>
          <w:p>
            <w:r>
              <w:t>Merchant context</w:t>
            </w:r>
          </w:p>
        </w:tc>
        <w:tc>
          <w:tcPr>
            <w:tcW w:type="dxa" w:w="4968"/>
          </w:tcPr>
          <w:p>
            <w:r>
              <w:t>Merchant ID, category, region, implementation date, feature eligibility and exposure</w:t>
            </w:r>
          </w:p>
        </w:tc>
      </w:tr>
      <w:tr>
        <w:tc>
          <w:tcPr>
            <w:tcW w:type="dxa" w:w="4968"/>
          </w:tcPr>
          <w:p>
            <w:r>
              <w:t>Authentication</w:t>
            </w:r>
          </w:p>
        </w:tc>
        <w:tc>
          <w:tcPr>
            <w:tcW w:type="dxa" w:w="4968"/>
          </w:tcPr>
          <w:p>
            <w:r>
              <w:t>Passkey/biometric readiness and authentication outcome, with appropriate privacy controls</w:t>
            </w:r>
          </w:p>
        </w:tc>
      </w:tr>
      <w:tr>
        <w:tc>
          <w:tcPr>
            <w:tcW w:type="dxa" w:w="4968"/>
          </w:tcPr>
          <w:p>
            <w:r>
              <w:t>Commercial outcomes</w:t>
            </w:r>
          </w:p>
        </w:tc>
        <w:tc>
          <w:tcPr>
            <w:tcW w:type="dxa" w:w="4968"/>
          </w:tcPr>
          <w:p>
            <w:r>
              <w:t>Order value, transaction volume, refunds, payment costs, repeat purchase indicator</w:t>
            </w:r>
          </w:p>
        </w:tc>
      </w:tr>
      <w:tr>
        <w:tc>
          <w:tcPr>
            <w:tcW w:type="dxa" w:w="4968"/>
          </w:tcPr>
          <w:p>
            <w:r>
              <w:t>Experiment metadata</w:t>
            </w:r>
          </w:p>
        </w:tc>
        <w:tc>
          <w:tcPr>
            <w:tcW w:type="dxa" w:w="4968"/>
          </w:tcPr>
          <w:p>
            <w:r>
              <w:t>Treatment/control assignment, exposure timestamp, eligibility rules, experiment window</w:t>
            </w:r>
          </w:p>
        </w:tc>
      </w:tr>
      <w:tr>
        <w:tc>
          <w:tcPr>
            <w:tcW w:type="dxa" w:w="4968"/>
          </w:tcPr>
          <w:p>
            <w:r>
              <w:t>Guardrails</w:t>
            </w:r>
          </w:p>
        </w:tc>
        <w:tc>
          <w:tcPr>
            <w:tcW w:type="dxa" w:w="4968"/>
          </w:tcPr>
          <w:p>
            <w:r>
              <w:t>Fraud indicators, chargebacks, latency, complaints, accessibility and support contacts</w:t>
            </w:r>
          </w:p>
        </w:tc>
      </w:tr>
    </w:tbl>
    <w:p>
      <w:pPr>
        <w:pStyle w:val="Heading1"/>
      </w:pPr>
      <w:r>
        <w:t>8. Proposed KPIs and definitions</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KPI</w:t>
            </w:r>
          </w:p>
        </w:tc>
        <w:tc>
          <w:tcPr>
            <w:tcW w:type="dxa" w:w="4968"/>
          </w:tcPr>
          <w:p>
            <w:r>
              <w:rPr>
                <w:b/>
              </w:rPr>
              <w:t>Working definition</w:t>
            </w:r>
          </w:p>
        </w:tc>
      </w:tr>
      <w:tr>
        <w:tc>
          <w:tcPr>
            <w:tcW w:type="dxa" w:w="4968"/>
          </w:tcPr>
          <w:p>
            <w:r>
              <w:t>Checkout completion rate</w:t>
            </w:r>
          </w:p>
        </w:tc>
        <w:tc>
          <w:tcPr>
            <w:tcW w:type="dxa" w:w="4968"/>
          </w:tcPr>
          <w:p>
            <w:r>
              <w:t>Completed purchases ÷ checkout starts; define whether the denominator is sessions, users, or attempts.</w:t>
            </w:r>
          </w:p>
        </w:tc>
      </w:tr>
      <w:tr>
        <w:tc>
          <w:tcPr>
            <w:tcW w:type="dxa" w:w="4968"/>
          </w:tcPr>
          <w:p>
            <w:r>
              <w:t>Payment authorization rate</w:t>
            </w:r>
          </w:p>
        </w:tc>
        <w:tc>
          <w:tcPr>
            <w:tcW w:type="dxa" w:w="4968"/>
          </w:tcPr>
          <w:p>
            <w:r>
              <w:t>Authorized payment attempts ÷ submitted payment attempts.</w:t>
            </w:r>
          </w:p>
        </w:tc>
      </w:tr>
      <w:tr>
        <w:tc>
          <w:tcPr>
            <w:tcW w:type="dxa" w:w="4968"/>
          </w:tcPr>
          <w:p>
            <w:r>
              <w:t>Step drop-off rate</w:t>
            </w:r>
          </w:p>
        </w:tc>
        <w:tc>
          <w:tcPr>
            <w:tcW w:type="dxa" w:w="4968"/>
          </w:tcPr>
          <w:p>
            <w:r>
              <w:t>Sessions reaching a step but not reaching the next defined step ÷ sessions reaching that step.</w:t>
            </w:r>
          </w:p>
        </w:tc>
      </w:tr>
      <w:tr>
        <w:tc>
          <w:tcPr>
            <w:tcW w:type="dxa" w:w="4968"/>
          </w:tcPr>
          <w:p>
            <w:r>
              <w:t>Redesigned checkout adoption</w:t>
            </w:r>
          </w:p>
        </w:tc>
        <w:tc>
          <w:tcPr>
            <w:tcW w:type="dxa" w:w="4968"/>
          </w:tcPr>
          <w:p>
            <w:r>
              <w:t>Eligible checkout traffic using the target experience ÷ total eligible checkout traffic.</w:t>
            </w:r>
          </w:p>
        </w:tc>
      </w:tr>
      <w:tr>
        <w:tc>
          <w:tcPr>
            <w:tcW w:type="dxa" w:w="4968"/>
          </w:tcPr>
          <w:p>
            <w:r>
              <w:t>Authentication readiness rate</w:t>
            </w:r>
          </w:p>
        </w:tc>
        <w:tc>
          <w:tcPr>
            <w:tcW w:type="dxa" w:w="4968"/>
          </w:tcPr>
          <w:p>
            <w:r>
              <w:t>Eligible users/sessions meeting the agreed passkey or biometric readiness definition ÷ relevant population.</w:t>
            </w:r>
          </w:p>
        </w:tc>
      </w:tr>
      <w:tr>
        <w:tc>
          <w:tcPr>
            <w:tcW w:type="dxa" w:w="4968"/>
          </w:tcPr>
          <w:p>
            <w:r>
              <w:t>TPV growth</w:t>
            </w:r>
          </w:p>
        </w:tc>
        <w:tc>
          <w:tcPr>
            <w:tcW w:type="dxa" w:w="4968"/>
          </w:tcPr>
          <w:p>
            <w:r>
              <w:t>Change in total payment volume over a specified period; report currency-neutral or nominal basis explicitly.</w:t>
            </w:r>
          </w:p>
        </w:tc>
      </w:tr>
      <w:tr>
        <w:tc>
          <w:tcPr>
            <w:tcW w:type="dxa" w:w="4968"/>
          </w:tcPr>
          <w:p>
            <w:r>
              <w:t>Guardrails</w:t>
            </w:r>
          </w:p>
        </w:tc>
        <w:tc>
          <w:tcPr>
            <w:tcW w:type="dxa" w:w="4968"/>
          </w:tcPr>
          <w:p>
            <w:r>
              <w:t>Fraud/chargeback rate, latency, support contacts, refund rate, and payment cost.</w:t>
            </w:r>
          </w:p>
        </w:tc>
      </w:tr>
    </w:tbl>
    <w:p>
      <w:pPr>
        <w:pStyle w:val="Heading1"/>
      </w:pPr>
      <w:r>
        <w:t>9. Analysis plan and limitations</w:t>
      </w:r>
    </w:p>
    <w:p>
      <w:r>
        <w:t>The next phase will compare public competitor checkout journeys and establish a data model for funnel analysis. Because PayPal's internal event-level data is not public, any transaction-level dataset created for SQL and Power BI will be explicitly labeled synthetic and used to demonstrate the analytical method—not to claim actual PayPal results. Public management statements and third-party survey findings will be cited separately from hypotheses and simulated results.</w:t>
      </w:r>
    </w:p>
    <w:p>
      <w:r>
        <w:t>Recommended analysis: funnel conversion by step; segmentation by device, merchant category, and authentication readiness; cohort comparison by checkout version; and, where appropriate, controlled A/B testing. Correlation alone will not be presented as causation.</w:t>
      </w:r>
    </w:p>
    <w:p>
      <w:pPr>
        <w:pStyle w:val="Heading1"/>
      </w:pPr>
      <w:r>
        <w:t>10. Sources</w:t>
      </w:r>
    </w:p>
    <w:p>
      <w:pPr>
        <w:pStyle w:val="ListBullet"/>
      </w:pPr>
      <w:r>
        <w:t>PayPal Q4 2025 Earnings Call Transcript (Feb. 3, 2026)</w:t>
        <w:br/>
      </w:r>
      <w:r>
        <w:t>https://s205.q4cdn.com/875401827/files/doc_financials/2025/q4/PayPal-4Q-25-Earnings-Transcript.pdf</w:t>
      </w:r>
    </w:p>
    <w:p>
      <w:pPr>
        <w:pStyle w:val="ListBullet"/>
      </w:pPr>
      <w:r>
        <w:t>PayPal 2025 Form 10-K</w:t>
        <w:br/>
      </w:r>
      <w:r>
        <w:t>https://www.sec.gov/Archives/edgar/data/1633917/000163391726000024/pypl-20251231.htm</w:t>
      </w:r>
    </w:p>
    <w:p>
      <w:pPr>
        <w:pStyle w:val="ListBullet"/>
      </w:pPr>
      <w:r>
        <w:t>PayPal, How PayPal Accelerated Checkout Helps Reduce Cart Abandonment and Increase Sales</w:t>
        <w:br/>
      </w:r>
      <w:r>
        <w:t>https://www.paypal.com/us/brc/article/accelerated-checkout-experience</w:t>
      </w:r>
    </w:p>
    <w:p>
      <w:pPr>
        <w:pStyle w:val="ListBullet"/>
      </w:pPr>
      <w:r>
        <w:t>PayPal Q4 and Full Year 2025 Earnings Release</w:t>
        <w:br/>
      </w:r>
      <w:r>
        <w:t>https://www.sec.gov/Archives/edgar/data/1633917/000163391726000021/pypl4q-25earningsrelease.htm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Independent portfolio case study • Public evidence + testable hypotheses • Not affiliated with PayPal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1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1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41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