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AD"/>
          <w:sz w:val="20"/>
        </w:rPr>
        <w:t>PAYPAL BRANDED CHECKOUT</w:t>
      </w:r>
    </w:p>
    <w:p>
      <w:pPr>
        <w:pStyle w:val="Title"/>
        <w:jc w:val="center"/>
      </w:pPr>
      <w:r>
        <w:t>Competitor &amp; Checkout Process Analysis</w:t>
      </w:r>
    </w:p>
    <w:p>
      <w:pPr>
        <w:jc w:val="center"/>
      </w:pPr>
      <w:r>
        <w:rPr>
          <w:i/>
        </w:rPr>
        <w:t>Step 2 | Independent Business Analyst Portfolio Case Study</w:t>
      </w:r>
    </w:p>
    <w:p>
      <w:pPr>
        <w:pStyle w:val="Heading1"/>
      </w:pPr>
      <w:r>
        <w:t>1. Purpose</w:t>
      </w:r>
    </w:p>
    <w:p>
      <w:r>
        <w:t>Compare publicly documented checkout capabilities and map the online purchase journey to identify testable opportunities for further analysis. This is desk research, not a usability lab study or a measurement of relative conversion.</w:t>
      </w:r>
    </w:p>
    <w:p>
      <w:pPr>
        <w:pStyle w:val="Heading1"/>
      </w:pPr>
      <w:r>
        <w:t>2. Competitor capability matrix</w:t>
      </w:r>
    </w:p>
    <w:tbl>
      <w:tblPr>
        <w:tblStyle w:val="LightShading-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5"/>
              </w:rPr>
              <w:t>Dimension</w:t>
            </w:r>
          </w:p>
        </w:tc>
        <w:tc>
          <w:tcPr>
            <w:tcW w:type="dxa" w:w="2045"/>
          </w:tcPr>
          <w:p>
            <w:r>
              <w:rPr>
                <w:b/>
                <w:sz w:val="15"/>
              </w:rPr>
              <w:t>PayPal</w:t>
            </w:r>
          </w:p>
        </w:tc>
        <w:tc>
          <w:tcPr>
            <w:tcW w:type="dxa" w:w="2045"/>
          </w:tcPr>
          <w:p>
            <w:r>
              <w:rPr>
                <w:b/>
                <w:sz w:val="15"/>
              </w:rPr>
              <w:t>Apple Pay</w:t>
            </w:r>
          </w:p>
        </w:tc>
        <w:tc>
          <w:tcPr>
            <w:tcW w:type="dxa" w:w="2045"/>
          </w:tcPr>
          <w:p>
            <w:r>
              <w:rPr>
                <w:b/>
                <w:sz w:val="15"/>
              </w:rPr>
              <w:t>Google Pay</w:t>
            </w:r>
          </w:p>
        </w:tc>
        <w:tc>
          <w:tcPr>
            <w:tcW w:type="dxa" w:w="2045"/>
          </w:tcPr>
          <w:p>
            <w:r>
              <w:rPr>
                <w:b/>
                <w:sz w:val="15"/>
              </w:rPr>
              <w:t>Shop Pay</w:t>
            </w:r>
          </w:p>
        </w:tc>
      </w:tr>
      <w:tr>
        <w:tc>
          <w:tcPr>
            <w:tcW w:type="dxa" w:w="2045"/>
            <w:vAlign w:val="top"/>
          </w:tcPr>
          <w:p>
            <w:r>
              <w:rPr>
                <w:sz w:val="14"/>
              </w:rPr>
              <w:t>Saved payment / shipping details</w:t>
            </w:r>
          </w:p>
        </w:tc>
        <w:tc>
          <w:tcPr>
            <w:tcW w:type="dxa" w:w="2045"/>
            <w:vAlign w:val="top"/>
          </w:tcPr>
          <w:p>
            <w:r>
              <w:rPr>
                <w:sz w:val="14"/>
              </w:rPr>
              <w:t>Supports saved account/payment details; exact flow varies by integration.</w:t>
            </w:r>
          </w:p>
        </w:tc>
        <w:tc>
          <w:tcPr>
            <w:tcW w:type="dxa" w:w="2045"/>
            <w:vAlign w:val="top"/>
          </w:tcPr>
          <w:p>
            <w:r>
              <w:rPr>
                <w:sz w:val="14"/>
              </w:rPr>
              <w:t>Uses Wallet cards and supported shipping/payment details.</w:t>
            </w:r>
          </w:p>
        </w:tc>
        <w:tc>
          <w:tcPr>
            <w:tcW w:type="dxa" w:w="2045"/>
            <w:vAlign w:val="top"/>
          </w:tcPr>
          <w:p>
            <w:r>
              <w:rPr>
                <w:sz w:val="14"/>
              </w:rPr>
              <w:t>Autofill of saved payment details on supported Chrome/Android experiences.</w:t>
            </w:r>
          </w:p>
        </w:tc>
        <w:tc>
          <w:tcPr>
            <w:tcW w:type="dxa" w:w="2045"/>
            <w:vAlign w:val="top"/>
          </w:tcPr>
          <w:p>
            <w:r>
              <w:rPr>
                <w:sz w:val="14"/>
              </w:rPr>
              <w:t>Recognizes eligible customers and can prefill saved shipping and payment details.</w:t>
            </w:r>
          </w:p>
        </w:tc>
      </w:tr>
      <w:tr>
        <w:tc>
          <w:tcPr>
            <w:tcW w:type="dxa" w:w="2045"/>
            <w:vAlign w:val="top"/>
          </w:tcPr>
          <w:p>
            <w:r>
              <w:rPr>
                <w:sz w:val="14"/>
              </w:rPr>
              <w:t>Authentication / confirmation</w:t>
            </w:r>
          </w:p>
        </w:tc>
        <w:tc>
          <w:tcPr>
            <w:tcW w:type="dxa" w:w="2045"/>
            <w:vAlign w:val="top"/>
          </w:tcPr>
          <w:p>
            <w:r>
              <w:rPr>
                <w:sz w:val="14"/>
              </w:rPr>
              <w:t>PayPal described deploying redesigned checkout with biometric enablement and app/device passkeys.</w:t>
            </w:r>
          </w:p>
        </w:tc>
        <w:tc>
          <w:tcPr>
            <w:tcW w:type="dxa" w:w="2045"/>
            <w:vAlign w:val="top"/>
          </w:tcPr>
          <w:p>
            <w:r>
              <w:rPr>
                <w:sz w:val="14"/>
              </w:rPr>
              <w:t>Face ID, Touch ID, or password depending on device/context.</w:t>
            </w:r>
          </w:p>
        </w:tc>
        <w:tc>
          <w:tcPr>
            <w:tcW w:type="dxa" w:w="2045"/>
            <w:vAlign w:val="top"/>
          </w:tcPr>
          <w:p>
            <w:r>
              <w:rPr>
                <w:sz w:val="14"/>
              </w:rPr>
              <w:t>Supported device/browser authentication and payment confirmation flow.</w:t>
            </w:r>
          </w:p>
        </w:tc>
        <w:tc>
          <w:tcPr>
            <w:tcW w:type="dxa" w:w="2045"/>
            <w:vAlign w:val="top"/>
          </w:tcPr>
          <w:p>
            <w:r>
              <w:rPr>
                <w:sz w:val="14"/>
              </w:rPr>
              <w:t>Passkey or one-time code depending on setup and context.</w:t>
            </w:r>
          </w:p>
        </w:tc>
      </w:tr>
      <w:tr>
        <w:tc>
          <w:tcPr>
            <w:tcW w:type="dxa" w:w="2045"/>
            <w:vAlign w:val="top"/>
          </w:tcPr>
          <w:p>
            <w:r>
              <w:rPr>
                <w:sz w:val="14"/>
              </w:rPr>
              <w:t>Payment-option visibility</w:t>
            </w:r>
          </w:p>
        </w:tc>
        <w:tc>
          <w:tcPr>
            <w:tcW w:type="dxa" w:w="2045"/>
            <w:vAlign w:val="top"/>
          </w:tcPr>
          <w:p>
            <w:r>
              <w:rPr>
                <w:sz w:val="14"/>
              </w:rPr>
              <w:t>PayPal identified BNPL visibility and placement as an opportunity in its 2025 earnings call.</w:t>
            </w:r>
          </w:p>
        </w:tc>
        <w:tc>
          <w:tcPr>
            <w:tcW w:type="dxa" w:w="2045"/>
            <w:vAlign w:val="top"/>
          </w:tcPr>
          <w:p>
            <w:r>
              <w:rPr>
                <w:sz w:val="14"/>
              </w:rPr>
              <w:t>Button can appear at merchant checkout and, where implemented, earlier in the journey.</w:t>
            </w:r>
          </w:p>
        </w:tc>
        <w:tc>
          <w:tcPr>
            <w:tcW w:type="dxa" w:w="2045"/>
            <w:vAlign w:val="top"/>
          </w:tcPr>
          <w:p>
            <w:r>
              <w:rPr>
                <w:sz w:val="14"/>
              </w:rPr>
              <w:t>Google recommends prominent placement, including product pages and above manual entry fields.</w:t>
            </w:r>
          </w:p>
        </w:tc>
        <w:tc>
          <w:tcPr>
            <w:tcW w:type="dxa" w:w="2045"/>
            <w:vAlign w:val="top"/>
          </w:tcPr>
          <w:p>
            <w:r>
              <w:rPr>
                <w:sz w:val="14"/>
              </w:rPr>
              <w:t>Merchants can place Shop Pay on product pages, cart, and checkout where enabled.</w:t>
            </w:r>
          </w:p>
        </w:tc>
      </w:tr>
      <w:tr>
        <w:tc>
          <w:tcPr>
            <w:tcW w:type="dxa" w:w="2045"/>
            <w:vAlign w:val="top"/>
          </w:tcPr>
          <w:p>
            <w:r>
              <w:rPr>
                <w:sz w:val="14"/>
              </w:rPr>
              <w:t>Merchant scope / caveat</w:t>
            </w:r>
          </w:p>
        </w:tc>
        <w:tc>
          <w:tcPr>
            <w:tcW w:type="dxa" w:w="2045"/>
            <w:vAlign w:val="top"/>
          </w:tcPr>
          <w:p>
            <w:r>
              <w:rPr>
                <w:sz w:val="14"/>
              </w:rPr>
              <w:t>Broad merchant checkout offering; functionality depends on merchant integration and consumer readiness.</w:t>
            </w:r>
          </w:p>
        </w:tc>
        <w:tc>
          <w:tcPr>
            <w:tcW w:type="dxa" w:w="2045"/>
            <w:vAlign w:val="top"/>
          </w:tcPr>
          <w:p>
            <w:r>
              <w:rPr>
                <w:sz w:val="14"/>
              </w:rPr>
              <w:t>Participating merchants, devices, browsers, and regional availability apply.</w:t>
            </w:r>
          </w:p>
        </w:tc>
        <w:tc>
          <w:tcPr>
            <w:tcW w:type="dxa" w:w="2045"/>
            <w:vAlign w:val="top"/>
          </w:tcPr>
          <w:p>
            <w:r>
              <w:rPr>
                <w:sz w:val="14"/>
              </w:rPr>
              <w:t>Participating sites/apps and supported devices/browsers apply.</w:t>
            </w:r>
          </w:p>
        </w:tc>
        <w:tc>
          <w:tcPr>
            <w:tcW w:type="dxa" w:w="2045"/>
            <w:vAlign w:val="top"/>
          </w:tcPr>
          <w:p>
            <w:r>
              <w:rPr>
                <w:sz w:val="14"/>
              </w:rPr>
              <w:t>Core experience is within Shopify and eligible external integrations; eligibility requirements apply.</w:t>
            </w:r>
          </w:p>
        </w:tc>
      </w:tr>
    </w:tbl>
    <w:p>
      <w:r>
        <w:t>Interpretation: This matrix describes documented capabilities, not measured performance. Public conversion claims from different vendors may use different populations, periods, and methods; they should not be compared as if they were the result of one controlled benchmark.</w:t>
      </w:r>
    </w:p>
    <w:p>
      <w:pPr>
        <w:pStyle w:val="Heading1"/>
      </w:pPr>
      <w:r>
        <w:t>3. Customer checkout journey</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Journey stage</w:t>
            </w:r>
          </w:p>
        </w:tc>
        <w:tc>
          <w:tcPr>
            <w:tcW w:type="dxa" w:w="3408"/>
          </w:tcPr>
          <w:p>
            <w:r>
              <w:rPr>
                <w:b/>
              </w:rPr>
              <w:t>Customer activity</w:t>
            </w:r>
          </w:p>
        </w:tc>
        <w:tc>
          <w:tcPr>
            <w:tcW w:type="dxa" w:w="3408"/>
          </w:tcPr>
          <w:p>
            <w:r>
              <w:rPr>
                <w:b/>
              </w:rPr>
              <w:t>Potential measures</w:t>
            </w:r>
          </w:p>
        </w:tc>
      </w:tr>
      <w:tr>
        <w:tc>
          <w:tcPr>
            <w:tcW w:type="dxa" w:w="3408"/>
            <w:vAlign w:val="top"/>
          </w:tcPr>
          <w:p>
            <w:r>
              <w:t>1. Product page</w:t>
            </w:r>
          </w:p>
        </w:tc>
        <w:tc>
          <w:tcPr>
            <w:tcW w:type="dxa" w:w="3408"/>
            <w:vAlign w:val="top"/>
          </w:tcPr>
          <w:p>
            <w:r>
              <w:t>Customer reviews the product, price, delivery estimate, and available purchase options.</w:t>
            </w:r>
          </w:p>
        </w:tc>
        <w:tc>
          <w:tcPr>
            <w:tcW w:type="dxa" w:w="3408"/>
            <w:vAlign w:val="top"/>
          </w:tcPr>
          <w:p>
            <w:r>
              <w:t>Product-page exit rate; accelerated-payment option exposure.</w:t>
            </w:r>
          </w:p>
        </w:tc>
      </w:tr>
      <w:tr>
        <w:tc>
          <w:tcPr>
            <w:tcW w:type="dxa" w:w="3408"/>
            <w:vAlign w:val="top"/>
          </w:tcPr>
          <w:p>
            <w:r>
              <w:t>2. Cart</w:t>
            </w:r>
          </w:p>
        </w:tc>
        <w:tc>
          <w:tcPr>
            <w:tcW w:type="dxa" w:w="3408"/>
            <w:vAlign w:val="top"/>
          </w:tcPr>
          <w:p>
            <w:r>
              <w:t>Customer reviews items, shipping, taxes, discounts, and total cost.</w:t>
            </w:r>
          </w:p>
        </w:tc>
        <w:tc>
          <w:tcPr>
            <w:tcW w:type="dxa" w:w="3408"/>
            <w:vAlign w:val="top"/>
          </w:tcPr>
          <w:p>
            <w:r>
              <w:t>Cart-to-checkout-start rate; price/shipping-related exit indicators where available.</w:t>
            </w:r>
          </w:p>
        </w:tc>
      </w:tr>
      <w:tr>
        <w:tc>
          <w:tcPr>
            <w:tcW w:type="dxa" w:w="3408"/>
            <w:vAlign w:val="top"/>
          </w:tcPr>
          <w:p>
            <w:r>
              <w:t>3. Checkout entry</w:t>
            </w:r>
          </w:p>
        </w:tc>
        <w:tc>
          <w:tcPr>
            <w:tcW w:type="dxa" w:w="3408"/>
            <w:vAlign w:val="top"/>
          </w:tcPr>
          <w:p>
            <w:r>
              <w:t>Customer chooses a wallet/accelerated option or standard checkout.</w:t>
            </w:r>
          </w:p>
        </w:tc>
        <w:tc>
          <w:tcPr>
            <w:tcW w:type="dxa" w:w="3408"/>
            <w:vAlign w:val="top"/>
          </w:tcPr>
          <w:p>
            <w:r>
              <w:t>Checkout-start rate; payment-option impression and selection rate.</w:t>
            </w:r>
          </w:p>
        </w:tc>
      </w:tr>
      <w:tr>
        <w:tc>
          <w:tcPr>
            <w:tcW w:type="dxa" w:w="3408"/>
            <w:vAlign w:val="top"/>
          </w:tcPr>
          <w:p>
            <w:r>
              <w:t>4. Authentication and payment details</w:t>
            </w:r>
          </w:p>
        </w:tc>
        <w:tc>
          <w:tcPr>
            <w:tcW w:type="dxa" w:w="3408"/>
            <w:vAlign w:val="top"/>
          </w:tcPr>
          <w:p>
            <w:r>
              <w:t>Customer confirms identity and selects or enters a payment method.</w:t>
            </w:r>
          </w:p>
        </w:tc>
        <w:tc>
          <w:tcPr>
            <w:tcW w:type="dxa" w:w="3408"/>
            <w:vAlign w:val="top"/>
          </w:tcPr>
          <w:p>
            <w:r>
              <w:t>Step completion rate; authentication success/failure; time to complete; validation errors.</w:t>
            </w:r>
          </w:p>
        </w:tc>
      </w:tr>
      <w:tr>
        <w:tc>
          <w:tcPr>
            <w:tcW w:type="dxa" w:w="3408"/>
            <w:vAlign w:val="top"/>
          </w:tcPr>
          <w:p>
            <w:r>
              <w:t>5. Payment authorization</w:t>
            </w:r>
          </w:p>
        </w:tc>
        <w:tc>
          <w:tcPr>
            <w:tcW w:type="dxa" w:w="3408"/>
            <w:vAlign w:val="top"/>
          </w:tcPr>
          <w:p>
            <w:r>
              <w:t>Payment attempt is submitted and approved, declined, or fails technically.</w:t>
            </w:r>
          </w:p>
        </w:tc>
        <w:tc>
          <w:tcPr>
            <w:tcW w:type="dxa" w:w="3408"/>
            <w:vAlign w:val="top"/>
          </w:tcPr>
          <w:p>
            <w:r>
              <w:t>Authorization rate; issuer decline rate; technical failure rate; retry success.</w:t>
            </w:r>
          </w:p>
        </w:tc>
      </w:tr>
      <w:tr>
        <w:tc>
          <w:tcPr>
            <w:tcW w:type="dxa" w:w="3408"/>
            <w:vAlign w:val="top"/>
          </w:tcPr>
          <w:p>
            <w:r>
              <w:t>6. Order confirmation</w:t>
            </w:r>
          </w:p>
        </w:tc>
        <w:tc>
          <w:tcPr>
            <w:tcW w:type="dxa" w:w="3408"/>
            <w:vAlign w:val="top"/>
          </w:tcPr>
          <w:p>
            <w:r>
              <w:t>Successful purchase is confirmed to the customer and merchant.</w:t>
            </w:r>
          </w:p>
        </w:tc>
        <w:tc>
          <w:tcPr>
            <w:tcW w:type="dxa" w:w="3408"/>
            <w:vAlign w:val="top"/>
          </w:tcPr>
          <w:p>
            <w:r>
              <w:t>Checkout completion rate; duplicate order/payment rate; refund and support-contact guardrails.</w:t>
            </w:r>
          </w:p>
        </w:tc>
      </w:tr>
    </w:tbl>
    <w:p>
      <w:pPr>
        <w:pStyle w:val="Heading1"/>
      </w:pPr>
      <w:r>
        <w:t>4. Initial opportunity areas to investigate</w:t>
      </w:r>
    </w:p>
    <w:p>
      <w:pPr>
        <w:pStyle w:val="ListBullet"/>
      </w:pPr>
      <w:r>
        <w:rPr>
          <w:b/>
        </w:rPr>
        <w:t xml:space="preserve">Authentication readiness: </w:t>
      </w:r>
      <w:r>
        <w:t>Compare completion and time-to-checkout for eligible, authenticated users versus other cohorts, while accounting for selection bias.</w:t>
      </w:r>
    </w:p>
    <w:p>
      <w:pPr>
        <w:pStyle w:val="ListBullet"/>
      </w:pPr>
      <w:r>
        <w:rPr>
          <w:b/>
        </w:rPr>
        <w:t xml:space="preserve">Payment-option placement: </w:t>
      </w:r>
      <w:r>
        <w:t>Measure impressions, selection, and downstream completion for eligible payment options shown at different journey stages.</w:t>
      </w:r>
    </w:p>
    <w:p>
      <w:pPr>
        <w:pStyle w:val="ListBullet"/>
      </w:pPr>
      <w:r>
        <w:rPr>
          <w:b/>
        </w:rPr>
        <w:t xml:space="preserve">Merchant implementation/adoption: </w:t>
      </w:r>
      <w:r>
        <w:t>Track coverage of redesigned checkout by merchant and traffic share; investigate whether delayed implementation is associated with missed opportunity.</w:t>
      </w:r>
    </w:p>
    <w:p>
      <w:pPr>
        <w:pStyle w:val="ListBullet"/>
      </w:pPr>
      <w:r>
        <w:rPr>
          <w:b/>
        </w:rPr>
        <w:t xml:space="preserve">Mobile vs. desktop: </w:t>
      </w:r>
      <w:r>
        <w:t>Compare funnel metrics and technical errors by device, browser, and app/web context.</w:t>
      </w:r>
    </w:p>
    <w:p>
      <w:pPr>
        <w:pStyle w:val="ListBullet"/>
      </w:pPr>
      <w:r>
        <w:rPr>
          <w:b/>
        </w:rPr>
        <w:t xml:space="preserve">Payment failures: </w:t>
      </w:r>
      <w:r>
        <w:t>Separate user abandonment, validation errors, technical errors, and issuer declines; these require different remedies.</w:t>
      </w:r>
    </w:p>
    <w:p>
      <w:pPr>
        <w:pStyle w:val="ListBullet"/>
      </w:pPr>
      <w:r>
        <w:rPr>
          <w:b/>
        </w:rPr>
        <w:t xml:space="preserve">Repeat use: </w:t>
      </w:r>
      <w:r>
        <w:t>Evaluate whether returning customers complete checkout more often or faster, and whether any change affects fraud or customer support.</w:t>
      </w:r>
    </w:p>
    <w:p>
      <w:pPr>
        <w:pStyle w:val="Heading1"/>
      </w:pPr>
      <w:r>
        <w:t>5. Data needed</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Data group</w:t>
            </w:r>
          </w:p>
        </w:tc>
        <w:tc>
          <w:tcPr>
            <w:tcW w:type="dxa" w:w="5112"/>
          </w:tcPr>
          <w:p>
            <w:r>
              <w:rPr>
                <w:b/>
              </w:rPr>
              <w:t>Required fields</w:t>
            </w:r>
          </w:p>
        </w:tc>
      </w:tr>
      <w:tr>
        <w:tc>
          <w:tcPr>
            <w:tcW w:type="dxa" w:w="5112"/>
          </w:tcPr>
          <w:p>
            <w:r>
              <w:t>Event/funnel data</w:t>
            </w:r>
          </w:p>
        </w:tc>
        <w:tc>
          <w:tcPr>
            <w:tcW w:type="dxa" w:w="5112"/>
          </w:tcPr>
          <w:p>
            <w:r>
              <w:t>Session ID, event time, event name, stage, checkout version, device, browser/app, country/region.</w:t>
            </w:r>
          </w:p>
        </w:tc>
      </w:tr>
      <w:tr>
        <w:tc>
          <w:tcPr>
            <w:tcW w:type="dxa" w:w="5112"/>
          </w:tcPr>
          <w:p>
            <w:r>
              <w:t>Payment outcome</w:t>
            </w:r>
          </w:p>
        </w:tc>
        <w:tc>
          <w:tcPr>
            <w:tcW w:type="dxa" w:w="5112"/>
          </w:tcPr>
          <w:p>
            <w:r>
              <w:t>Attempt ID, payment method, authorization result, standardized error category, completion status, order value.</w:t>
            </w:r>
          </w:p>
        </w:tc>
      </w:tr>
      <w:tr>
        <w:tc>
          <w:tcPr>
            <w:tcW w:type="dxa" w:w="5112"/>
          </w:tcPr>
          <w:p>
            <w:r>
              <w:t>Merchant context</w:t>
            </w:r>
          </w:p>
        </w:tc>
        <w:tc>
          <w:tcPr>
            <w:tcW w:type="dxa" w:w="5112"/>
          </w:tcPr>
          <w:p>
            <w:r>
              <w:t>Merchant ID, category, integration date, feature eligibility, experience version, traffic exposure.</w:t>
            </w:r>
          </w:p>
        </w:tc>
      </w:tr>
      <w:tr>
        <w:tc>
          <w:tcPr>
            <w:tcW w:type="dxa" w:w="5112"/>
          </w:tcPr>
          <w:p>
            <w:r>
              <w:t>Authentication</w:t>
            </w:r>
          </w:p>
        </w:tc>
        <w:tc>
          <w:tcPr>
            <w:tcW w:type="dxa" w:w="5112"/>
          </w:tcPr>
          <w:p>
            <w:r>
              <w:t>Readiness/availability flag and authentication outcome; use privacy-preserving, access-controlled fields.</w:t>
            </w:r>
          </w:p>
        </w:tc>
      </w:tr>
      <w:tr>
        <w:tc>
          <w:tcPr>
            <w:tcW w:type="dxa" w:w="5112"/>
          </w:tcPr>
          <w:p>
            <w:r>
              <w:t>Experiment data</w:t>
            </w:r>
          </w:p>
        </w:tc>
        <w:tc>
          <w:tcPr>
            <w:tcW w:type="dxa" w:w="5112"/>
          </w:tcPr>
          <w:p>
            <w:r>
              <w:t>Experiment ID, treatment/control assignment, exposure timestamp, eligibility rules, test window.</w:t>
            </w:r>
          </w:p>
        </w:tc>
      </w:tr>
      <w:tr>
        <w:tc>
          <w:tcPr>
            <w:tcW w:type="dxa" w:w="5112"/>
          </w:tcPr>
          <w:p>
            <w:r>
              <w:t>Guardrails</w:t>
            </w:r>
          </w:p>
        </w:tc>
        <w:tc>
          <w:tcPr>
            <w:tcW w:type="dxa" w:w="5112"/>
          </w:tcPr>
          <w:p>
            <w:r>
              <w:t>Fraud/chargeback indicators, refunds, latency, duplicate payments, customer complaints, payment cost.</w:t>
            </w:r>
          </w:p>
        </w:tc>
      </w:tr>
    </w:tbl>
    <w:p>
      <w:pPr>
        <w:pStyle w:val="Heading1"/>
      </w:pPr>
      <w:r>
        <w:t>6. Proposed hypotheses (not proven)</w:t>
      </w:r>
    </w:p>
    <w:p>
      <w:pPr>
        <w:pStyle w:val="ListBullet"/>
      </w:pPr>
      <w:r>
        <w:t>H1: Checkout completion differs by authentication readiness after controlling for relevant customer and merchant characteristics.</w:t>
      </w:r>
    </w:p>
    <w:p>
      <w:pPr>
        <w:pStyle w:val="ListBullet"/>
      </w:pPr>
      <w:r>
        <w:t>H2: Earlier placement of an eligible payment option changes selection and completion rates for some merchant/customer segments.</w:t>
      </w:r>
    </w:p>
    <w:p>
      <w:pPr>
        <w:pStyle w:val="ListBullet"/>
      </w:pPr>
      <w:r>
        <w:t>H3: Checkout redesign impact varies by merchant implementation coverage and device type.</w:t>
      </w:r>
    </w:p>
    <w:p>
      <w:pPr>
        <w:pStyle w:val="ListBullet"/>
      </w:pPr>
      <w:r>
        <w:t>H4: Segment-specific technical or authorization failures account for a measurable share of checkout losses.</w:t>
      </w:r>
    </w:p>
    <w:p>
      <w:pPr>
        <w:pStyle w:val="Heading1"/>
      </w:pPr>
      <w:r>
        <w:t>7. How to analyze this</w:t>
      </w:r>
    </w:p>
    <w:p>
      <w:pPr>
        <w:pStyle w:val="ListNumber"/>
      </w:pPr>
      <w:r>
        <w:t>Build a consistent funnel definition and document the denominator for every rate.</w:t>
      </w:r>
    </w:p>
    <w:p>
      <w:pPr>
        <w:pStyle w:val="ListNumber"/>
      </w:pPr>
      <w:r>
        <w:t>Use SQL to calculate stage counts, conversion rates, step drop-off, authorization outcomes, and segment comparisons.</w:t>
      </w:r>
    </w:p>
    <w:p>
      <w:pPr>
        <w:pStyle w:val="ListNumber"/>
      </w:pPr>
      <w:r>
        <w:t>Use Power BI to show funnel conversion, error mix, device/merchant comparisons, and trends over time.</w:t>
      </w:r>
    </w:p>
    <w:p>
      <w:pPr>
        <w:pStyle w:val="ListNumber"/>
      </w:pPr>
      <w:r>
        <w:t>If actual PayPal event-level data is unavailable, use a synthetic dataset solely to demonstrate the analysis workflow. Label every simulated result clearly and never describe it as PayPal's actual performance.</w:t>
      </w:r>
    </w:p>
    <w:p>
      <w:pPr>
        <w:pStyle w:val="ListNumber"/>
      </w:pPr>
      <w:r>
        <w:t>Recommend an A/B test only when exposure can be randomized or otherwise evaluated credibly; monitor fraud, latency, refunds, and complaints as guardrails.</w:t>
      </w:r>
    </w:p>
    <w:p>
      <w:pPr>
        <w:pStyle w:val="Heading1"/>
      </w:pPr>
      <w:r>
        <w:t>8. Public sources</w:t>
      </w:r>
    </w:p>
    <w:p>
      <w:pPr>
        <w:pStyle w:val="ListBullet"/>
      </w:pPr>
      <w:r>
        <w:t>PayPal Q4 2025 earnings call transcript (Feb. 3, 2026)</w:t>
        <w:br/>
        <w:t>https://s205.q4cdn.com/875401827/files/doc_financials/2025/q4/PayPal-4Q-25-Earnings-Transcript.pdf</w:t>
      </w:r>
    </w:p>
    <w:p>
      <w:pPr>
        <w:pStyle w:val="ListBullet"/>
      </w:pPr>
      <w:r>
        <w:t>PayPal: How checkout speed and payment flexibility can support growth</w:t>
        <w:br/>
        <w:t>https://www.paypal.com/us/brc/article/checkout-speed-payment-flexibility-support-growth</w:t>
      </w:r>
    </w:p>
    <w:p>
      <w:pPr>
        <w:pStyle w:val="ListBullet"/>
      </w:pPr>
      <w:r>
        <w:t>Apple Pay online checkout</w:t>
        <w:br/>
        <w:t>https://www.apple.com/apple-pay/</w:t>
      </w:r>
    </w:p>
    <w:p>
      <w:pPr>
        <w:pStyle w:val="ListBullet"/>
      </w:pPr>
      <w:r>
        <w:t>Google Pay online checkout</w:t>
        <w:br/>
        <w:t>https://pay.google.com/intl/en_us/about/pay-online/</w:t>
      </w:r>
    </w:p>
    <w:p>
      <w:pPr>
        <w:pStyle w:val="ListBullet"/>
      </w:pPr>
      <w:r>
        <w:t>Google Pay API UX best practices</w:t>
        <w:br/>
        <w:t>https://developers.google.com/pay/api/web/guides/ux-best-practices</w:t>
      </w:r>
    </w:p>
    <w:p>
      <w:pPr>
        <w:pStyle w:val="ListBullet"/>
      </w:pPr>
      <w:r>
        <w:t>Shop Pay official page</w:t>
        <w:br/>
        <w:t>https://www.shopify.com/shop-pay</w:t>
      </w:r>
    </w:p>
    <w:p>
      <w:pPr>
        <w:pStyle w:val="ListBullet"/>
      </w:pPr>
      <w:r>
        <w:t>Shopify Help: Using Shop Pay — customer experience</w:t>
        <w:br/>
        <w:t>https://help.shopify.com/en/manual/payments/accelerated-checkouts/shop-pay</w:t>
      </w:r>
    </w:p>
    <w:p>
      <w:pPr>
        <w:pStyle w:val="Heading1"/>
      </w:pPr>
      <w:r>
        <w:t>9. Important limitations</w:t>
      </w:r>
    </w:p>
    <w:p>
      <w:r>
        <w:t>This independent portfolio case study uses public documentation. It does not imply employment by, endorsement from, or access to internal data from PayPal or its competitors. Feature availability varies by merchant, device, location, and eligibility. Vendor-published conversion claims are not directly comparable unless their study designs and denominators match.</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Independent portfolio case study • Public information only • Competitor claims are not a controlled benchmark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48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48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B48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