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الضرب الثاني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أن يعلم صفة التغيير بأن يعلم أو يغلب على ظنه أن إنكاره المنكر مزيل له وأن أمره بالمعروف مؤثر فيه ونافع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رأى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علم منكم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منكراً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في غيره من المؤمنين، والخطاب للصحابة أصالة ولغيرهم من الأمة تبعاً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الإتيان بمن التبعيضية إشعار بأنه من فروض الكفاية، وإيماء إلى أنه لا يباشره إلا من يعرف مراتب الإحسان وتفاوت المنكرات، ويميز بين المتفق عليه والمختلف فيه منها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مرقاة المفاتيح شرح مشكاة المصابيح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٣٢٠٨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92</Words>
  <Characters>415</Characters>
  <CharactersWithSpaces>505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2024-10-29T18:40:57Z</dcterms:modified>
  <cp:revision>1</cp:revision>
  <dc:subject/>
  <dc:title/>
</cp:coreProperties>
</file>