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٤٤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وشرطه أن يكون ملابسا لمفسدة واجبة الدفع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الموسوعة الفقهية الكويتية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ج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١٧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ص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٢٩١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مكتبة رشيدية كويته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.</w:t>
      </w:r>
    </w:p>
    <w:p>
      <w:pPr>
        <w:pStyle w:val="BodyText"/>
        <w:bidi w:val="1"/>
        <w:spacing w:before="0" w:after="140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- </w:t>
      </w:r>
      <w:r>
        <w:rPr>
          <w:rStyle w:val="Strong"/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وشرطه أن يكون بصفة يصير الفعل الممنوع منه في حقه منكراً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الموسوعة الفقهية الكويتية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ج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</w:rPr>
        <w:t>٦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 ص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</w:rPr>
        <w:t>٢٥٠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37</Words>
  <Characters>167</Characters>
  <CharactersWithSpaces>202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2024-10-29T21:34:47Z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