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٤٦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الحسبة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هي أمر بالمعروف إذا ظهر تركه، ونهي عن المنكر إذا أظهر فعله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وقال الله تعالى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: {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ولتكن منكم أمة يدعون إلى الخير ويأمرون بالمعروف وينهون عن المنكر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} (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آل عمران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١٠٤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وهذا، وإن صح من كل مسلم، فالفرق فيه بين المتطوع والمحتسب من تسعة أوجه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:</w:t>
      </w:r>
    </w:p>
    <w:p>
      <w:pPr>
        <w:pStyle w:val="BodyText"/>
        <w:bidi w:val="1"/>
        <w:spacing w:before="0" w:after="0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- </w:t>
      </w:r>
      <w:r>
        <w:rPr>
          <w:rStyle w:val="Strong"/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أحدها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إن فرضه متعين على المحتسب بحكم الولاية، وفرضه على غيره داخل في فروض الكفاية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.</w:t>
      </w:r>
    </w:p>
    <w:p>
      <w:pPr>
        <w:pStyle w:val="BodyText"/>
        <w:bidi w:val="1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- </w:t>
      </w:r>
      <w:r>
        <w:rPr>
          <w:rStyle w:val="Strong"/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والثاني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إن قيام المحتسب به من حقوق تصرفه الذي لا يجوز أن يتشاغل عنه، وقيام المتطوع به من نوافل عمله الذي يجوز أن يتشاغل عنه بغيره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.</w:t>
      </w:r>
    </w:p>
    <w:p>
      <w:pPr>
        <w:pStyle w:val="BodyText"/>
        <w:bidi w:val="1"/>
        <w:spacing w:before="0" w:after="140"/>
        <w:jc w:val="left"/>
        <w:rPr/>
      </w:pPr>
      <w:r>
        <w:rPr>
          <w:rStyle w:val="Strong"/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المصدر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الأحكام السلطانية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للماوردي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ص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</w:rPr>
        <w:t>٣٤٩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الناشر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دار الحديث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القاهرة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99</Words>
  <Characters>442</Characters>
  <CharactersWithSpaces>536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2024-10-29T21:35:20Z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