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٤٧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ومن شروطه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أن يكون موجودا في الحال هو أو مقدماته، أما ما فات فليس فيه إلا النصح، وأن يكون ظاهرا يراه المحتسب أو يسمعه أو ينقل له نقلا موثوقا، كل ذلك بدون تجسس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ومن شروطه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أن لا يكون مما اختلف فيه من مسائل الاجتهاد اختلافا معتبرا، فلا إنكار في مسائل الاجتهاد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. 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فتاوى الشبكة الإسلامية ج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٣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ص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٤٠٢٣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الشرط الثاني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أن يكون المنكر موجودا في الحال بأن يكون الفاعل مستمرا على فعل المنكر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الموسوعة الفقهية الكويتية ج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٢٥٢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مكتبة الرشيدية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84</Words>
  <Characters>358</Characters>
  <CharactersWithSpaces>440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2024-10-29T21:35:38Z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