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pPr>
      <w:r>
        <w:rPr>
          <w:rFonts w:eastAsia="Times New Roman" w:cs="Times New Roman" w:ascii="Times New Roman" w:hAnsi="Times New Roman"/>
          <w:b w:val="false"/>
          <w:bCs w:val="false"/>
          <w:position w:val="0"/>
          <w:sz w:val="28"/>
          <w:sz w:val="28"/>
          <w:szCs w:val="28"/>
          <w:vertAlign w:val="baseline"/>
          <w:rtl w:val="true"/>
        </w:rPr>
        <w:t>(</w:t>
      </w:r>
      <w:r>
        <w:rPr>
          <w:rFonts w:ascii="Times New Roman" w:hAnsi="Times New Roman" w:eastAsia="Times New Roman" w:cs="Times New Roman"/>
          <w:b w:val="false"/>
          <w:b w:val="false"/>
          <w:bCs w:val="false"/>
          <w:position w:val="0"/>
          <w:sz w:val="28"/>
          <w:sz w:val="28"/>
          <w:sz w:val="28"/>
          <w:szCs w:val="28"/>
          <w:vertAlign w:val="baseline"/>
        </w:rPr>
        <w:t>٥٤</w:t>
      </w:r>
      <w:r>
        <w:rPr>
          <w:rFonts w:eastAsia="Times New Roman" w:cs="Times New Roman" w:ascii="Times New Roman" w:hAnsi="Times New Roman"/>
          <w:b w:val="false"/>
          <w:bCs w:val="false"/>
          <w:position w:val="0"/>
          <w:sz w:val="28"/>
          <w:sz w:val="28"/>
          <w:szCs w:val="28"/>
          <w:vertAlign w:val="baseline"/>
          <w:rtl w:val="true"/>
        </w:rPr>
        <w:t xml:space="preserve">) </w:t>
      </w:r>
      <w:r>
        <w:rPr>
          <w:rStyle w:val="Strong"/>
          <w:rFonts w:ascii="Times New Roman" w:hAnsi="Times New Roman" w:eastAsia="Times New Roman" w:cs="Times New Roman"/>
          <w:b w:val="false"/>
          <w:b w:val="false"/>
          <w:bCs w:val="false"/>
          <w:position w:val="0"/>
          <w:sz w:val="28"/>
          <w:sz w:val="28"/>
          <w:sz w:val="28"/>
          <w:szCs w:val="28"/>
          <w:vertAlign w:val="baseline"/>
          <w:rtl w:val="true"/>
        </w:rPr>
        <w:t>لا يحل للمسلمة أن تنكشف بين يدي يهودية أو نصرانية أو مشركة إلا أن تكون أمة لها كما في السراج، ونصاب الاحتساب ولا تنبغي للمرأة الصالحة أن تنظر إليها المرأة الفاجرة لأنها تصفها عند الرجال، فلا تضع جلبابها ولا خمارها كما في السراج</w:t>
      </w:r>
      <w:r>
        <w:rPr>
          <w:rFonts w:eastAsia="Times New Roman" w:cs="Times New Roman" w:ascii="Times New Roman" w:hAnsi="Times New Roman"/>
          <w:b w:val="false"/>
          <w:bCs w:val="false"/>
          <w:position w:val="0"/>
          <w:sz w:val="28"/>
          <w:sz w:val="28"/>
          <w:szCs w:val="28"/>
          <w:vertAlign w:val="baseline"/>
          <w:rtl w:val="true"/>
        </w:rPr>
        <w:t>. (</w:t>
      </w:r>
      <w:r>
        <w:rPr>
          <w:rFonts w:ascii="Times New Roman" w:hAnsi="Times New Roman" w:eastAsia="Times New Roman" w:cs="Times New Roman"/>
          <w:b w:val="false"/>
          <w:b w:val="false"/>
          <w:bCs w:val="false"/>
          <w:position w:val="0"/>
          <w:sz w:val="28"/>
          <w:sz w:val="28"/>
          <w:sz w:val="28"/>
          <w:szCs w:val="28"/>
          <w:vertAlign w:val="baseline"/>
          <w:rtl w:val="true"/>
        </w:rPr>
        <w:t xml:space="preserve">الدر المختار وحاشية ابن عابدين </w:t>
      </w:r>
      <w:r>
        <w:rPr>
          <w:rFonts w:eastAsia="Times New Roman" w:cs="Times New Roman" w:ascii="Times New Roman" w:hAnsi="Times New Roman"/>
          <w:b w:val="false"/>
          <w:bCs w:val="false"/>
          <w:position w:val="0"/>
          <w:sz w:val="28"/>
          <w:sz w:val="28"/>
          <w:szCs w:val="28"/>
          <w:vertAlign w:val="baseline"/>
          <w:rtl w:val="true"/>
        </w:rPr>
        <w:t>(</w:t>
      </w:r>
      <w:r>
        <w:rPr>
          <w:rFonts w:ascii="Times New Roman" w:hAnsi="Times New Roman" w:eastAsia="Times New Roman" w:cs="Times New Roman"/>
          <w:b w:val="false"/>
          <w:b w:val="false"/>
          <w:bCs w:val="false"/>
          <w:position w:val="0"/>
          <w:sz w:val="28"/>
          <w:sz w:val="28"/>
          <w:sz w:val="28"/>
          <w:szCs w:val="28"/>
          <w:vertAlign w:val="baseline"/>
          <w:rtl w:val="true"/>
        </w:rPr>
        <w:t xml:space="preserve">رد المحتار ج </w:t>
      </w:r>
      <w:r>
        <w:rPr>
          <w:rFonts w:ascii="Times New Roman" w:hAnsi="Times New Roman" w:eastAsia="Times New Roman" w:cs="Times New Roman"/>
          <w:b w:val="false"/>
          <w:b w:val="false"/>
          <w:bCs w:val="false"/>
          <w:position w:val="0"/>
          <w:sz w:val="28"/>
          <w:sz w:val="28"/>
          <w:sz w:val="28"/>
          <w:szCs w:val="28"/>
          <w:vertAlign w:val="baseline"/>
        </w:rPr>
        <w:t>٦</w:t>
      </w:r>
      <w:r>
        <w:rPr>
          <w:rFonts w:ascii="Times New Roman" w:hAnsi="Times New Roman" w:eastAsia="Times New Roman" w:cs="Times New Roman"/>
          <w:b w:val="false"/>
          <w:b w:val="false"/>
          <w:bCs w:val="false"/>
          <w:position w:val="0"/>
          <w:sz w:val="28"/>
          <w:sz w:val="28"/>
          <w:sz w:val="28"/>
          <w:szCs w:val="28"/>
          <w:vertAlign w:val="baseline"/>
          <w:rtl w:val="true"/>
        </w:rPr>
        <w:t xml:space="preserve"> ص </w:t>
      </w:r>
      <w:r>
        <w:rPr>
          <w:rFonts w:ascii="Times New Roman" w:hAnsi="Times New Roman" w:eastAsia="Times New Roman" w:cs="Times New Roman"/>
          <w:b w:val="false"/>
          <w:b w:val="false"/>
          <w:bCs w:val="false"/>
          <w:position w:val="0"/>
          <w:sz w:val="28"/>
          <w:sz w:val="28"/>
          <w:sz w:val="28"/>
          <w:szCs w:val="28"/>
          <w:vertAlign w:val="baseline"/>
        </w:rPr>
        <w:t>٣٧١</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الناشر</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دار الفكر</w:t>
      </w:r>
      <w:r>
        <w:rPr>
          <w:rFonts w:eastAsia="Times New Roman" w:cs="Times New Roman" w:ascii="Times New Roman" w:hAnsi="Times New Roman"/>
          <w:b w:val="false"/>
          <w:bCs w:val="false"/>
          <w:position w:val="0"/>
          <w:sz w:val="28"/>
          <w:sz w:val="28"/>
          <w:szCs w:val="28"/>
          <w:vertAlign w:val="baseline"/>
          <w:rtl w:val="true"/>
        </w:rPr>
        <w:t>-</w:t>
      </w:r>
      <w:r>
        <w:rPr>
          <w:rFonts w:ascii="Times New Roman" w:hAnsi="Times New Roman" w:eastAsia="Times New Roman" w:cs="Times New Roman"/>
          <w:b w:val="false"/>
          <w:b w:val="false"/>
          <w:bCs w:val="false"/>
          <w:position w:val="0"/>
          <w:sz w:val="28"/>
          <w:sz w:val="28"/>
          <w:sz w:val="28"/>
          <w:szCs w:val="28"/>
          <w:vertAlign w:val="baseline"/>
          <w:rtl w:val="true"/>
        </w:rPr>
        <w:t>بيروت</w:t>
      </w:r>
      <w:r>
        <w:rPr>
          <w:rFonts w:eastAsia="Times New Roman" w:cs="Times New Roman" w:ascii="Times New Roman" w:hAnsi="Times New Roman"/>
          <w:b w:val="false"/>
          <w:bCs w:val="false"/>
          <w:position w:val="0"/>
          <w:sz w:val="28"/>
          <w:sz w:val="28"/>
          <w:szCs w:val="28"/>
          <w:vertAlign w:val="baseline"/>
          <w:rtl w:val="true"/>
        </w:rPr>
        <w:t>.</w:t>
      </w:r>
    </w:p>
    <w:p>
      <w:pPr>
        <w:pStyle w:val="BodyText"/>
        <w:bidi w:val="1"/>
        <w:spacing w:before="0" w:after="140"/>
        <w:jc w:val="left"/>
        <w:rPr/>
      </w:pP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ولا ينبغي للمرأة الصالحة أن تنظر إليها المرأة الفاجرة؛ لأنها تصفها عند الرجال فلا تضع جلبابها، ولا خمارها عندها، ولا يحل أيضا لامرأة مؤمنة أن تكشف عورتها عند أمة مشركة أو كتابية إلا أن تكون أمة لها، كذا في السراج الوهاج</w:t>
      </w:r>
      <w:r>
        <w:rPr>
          <w:rFonts w:cs="Times New Roman" w:ascii="Times New Roman" w:hAnsi="Times New Roman"/>
          <w:b w:val="false"/>
          <w:bCs w:val="false"/>
          <w:sz w:val="28"/>
          <w:szCs w:val="28"/>
          <w:rtl w:val="true"/>
        </w:rPr>
        <w:t>. (</w:t>
      </w:r>
      <w:r>
        <w:rPr>
          <w:rFonts w:ascii="Times New Roman" w:hAnsi="Times New Roman" w:cs="Times New Roman"/>
          <w:b w:val="false"/>
          <w:b w:val="false"/>
          <w:bCs w:val="false"/>
          <w:sz w:val="28"/>
          <w:sz w:val="28"/>
          <w:szCs w:val="28"/>
          <w:rtl w:val="true"/>
        </w:rPr>
        <w:t xml:space="preserve">الفقه الحنفى ج </w:t>
      </w:r>
      <w:r>
        <w:rPr>
          <w:rFonts w:ascii="Times New Roman" w:hAnsi="Times New Roman" w:cs="Times New Roman"/>
          <w:b w:val="false"/>
          <w:b w:val="false"/>
          <w:bCs w:val="false"/>
          <w:sz w:val="28"/>
          <w:sz w:val="28"/>
          <w:szCs w:val="28"/>
        </w:rPr>
        <w:t>۵</w:t>
      </w:r>
      <w:r>
        <w:rPr>
          <w:rFonts w:ascii="Times New Roman" w:hAnsi="Times New Roman" w:cs="Times New Roman"/>
          <w:b w:val="false"/>
          <w:b w:val="false"/>
          <w:bCs w:val="false"/>
          <w:sz w:val="28"/>
          <w:sz w:val="28"/>
          <w:szCs w:val="28"/>
          <w:rtl w:val="true"/>
        </w:rPr>
        <w:t xml:space="preserve"> ص </w:t>
      </w:r>
      <w:r>
        <w:rPr>
          <w:rFonts w:ascii="Times New Roman" w:hAnsi="Times New Roman" w:cs="Times New Roman"/>
          <w:b w:val="false"/>
          <w:b w:val="false"/>
          <w:bCs w:val="false"/>
          <w:sz w:val="28"/>
          <w:sz w:val="28"/>
          <w:szCs w:val="28"/>
        </w:rPr>
        <w:t>۳۸۴</w:t>
      </w:r>
      <w:r>
        <w:rPr>
          <w:rFonts w:ascii="Times New Roman" w:hAnsi="Times New Roman" w:cs="Times New Roman"/>
          <w:b w:val="false"/>
          <w:b w:val="false"/>
          <w:bCs w:val="false"/>
          <w:sz w:val="28"/>
          <w:sz w:val="28"/>
          <w:szCs w:val="28"/>
          <w:rtl w:val="true"/>
        </w:rPr>
        <w:t xml:space="preserve"> كتاب الحظر والاباحة</w:t>
      </w:r>
      <w:r>
        <w:rPr>
          <w:rFonts w:cs="Times New Roman" w:ascii="Times New Roman" w:hAnsi="Times New Roman"/>
          <w:b w:val="false"/>
          <w:bCs w:val="false"/>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109</Words>
  <Characters>474</Characters>
  <CharactersWithSpaces>581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2024-10-29T21:37:41Z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