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left"/>
        <w:rPr>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٦٠</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ذَلِكَ وَمَنْ يُعَظِّمْ شَعَائِرَ اللَّهِ فَإِنَّهَا مِنْ تَقْوَى الْقُلُوبِ</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الحج، الآية </w:t>
      </w:r>
      <w:r>
        <w:rPr>
          <w:rFonts w:ascii="Times New Roman" w:hAnsi="Times New Roman" w:eastAsia="Times New Roman" w:cs="Times New Roman"/>
          <w:position w:val="0"/>
          <w:sz w:val="28"/>
          <w:sz w:val="28"/>
          <w:sz w:val="28"/>
          <w:szCs w:val="28"/>
          <w:vertAlign w:val="baseline"/>
        </w:rPr>
        <w:t>٣٢</w:t>
      </w:r>
      <w:r>
        <w:rPr>
          <w:rFonts w:eastAsia="Times New Roman" w:cs="Times New Roman" w:ascii="Times New Roman" w:hAnsi="Times New Roman"/>
          <w:position w:val="0"/>
          <w:sz w:val="28"/>
          <w:sz w:val="28"/>
          <w:szCs w:val="28"/>
          <w:vertAlign w:val="baseline"/>
          <w:rtl w:val="true"/>
        </w:rPr>
        <w:t>).</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أحدها</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حفظ الدين على أصوله المستقرة، وما أجمع عليه سلف الأمة، فإن نجم مبتدع أو زاغ ذو شبهة عنه، أوضح له الحجة، وبيَّن له الصواب، وأخذه بما يلزمه من الحقوق والحدود؛ ليكون الدين محروسًا من خلل، والأمة ممنوعة من زلل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الأحكام السلطانية، ج </w:t>
      </w:r>
      <w:r>
        <w:rPr>
          <w:rFonts w:ascii="Times New Roman" w:hAnsi="Times New Roman" w:eastAsia="Times New Roman" w:cs="Times New Roman"/>
          <w:position w:val="0"/>
          <w:sz w:val="28"/>
          <w:sz w:val="28"/>
          <w:sz w:val="28"/>
          <w:szCs w:val="28"/>
          <w:vertAlign w:val="baseline"/>
        </w:rPr>
        <w:t>١</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٤٠</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الحديث – القاهرة</w:t>
      </w:r>
      <w:r>
        <w:rPr>
          <w:rFonts w:eastAsia="Times New Roman" w:cs="Times New Roman" w:ascii="Times New Roman" w:hAnsi="Times New Roman"/>
          <w:position w:val="0"/>
          <w:sz w:val="28"/>
          <w:sz w:val="28"/>
          <w:szCs w:val="28"/>
          <w:vertAlign w:val="baseline"/>
          <w:rtl w:val="true"/>
        </w:rPr>
        <w:t>).</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64</Words>
  <Characters>282</Characters>
  <CharactersWithSpaces>346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2024-10-29T20:50:41Z</dcterms:modified>
  <cp:revision>2</cp:revision>
  <dc:subject/>
  <dc:title/>
</cp:coreProperties>
</file>