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٧٥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مما يتأكد على المحتسب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المنع من التطفيف والبخس في المكاييل والموازين والصنجات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فينبغي له أن يحذر الكيالين والوزانين ويخوفهم عقوبة الله تعالى، وينهاهم عن البخس والتطفيف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ومتى ظهر له من أحد منهم خيانة عزره على ذلك وأشهره، حتى يرتدع به غيره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الموسوعة الفقهية الكويتية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١٢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١٤٥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المحتسب مأمور بإزالة المنكر، فله أن يحتسب على كل من اقترف شيئاً من المعاصي وأن يعاقبه عليها بما يراه مناسباً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٢٦٦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مما يتأكد على المحتسب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المنع من التطفيف والبخس في المكاييل والموازين والصنجات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فينبغي له أن يحذر الكيالين والوزانين ويخوفهم عقوبة الله تعالى، وينهاهم عن البخس والتطفيف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ومتى ظهر له من أحد منهم خيانة عزره على ذلك وأشهره، حتى يرتدع به غيره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 ج </w:t>
      </w:r>
      <w:r>
        <w:rPr>
          <w:rFonts w:ascii="Times New Roman" w:hAnsi="Times New Roman" w:cs="Times New Roman"/>
          <w:sz w:val="28"/>
          <w:sz w:val="28"/>
          <w:szCs w:val="28"/>
        </w:rPr>
        <w:t>١٢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١٤٥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126</Words>
  <Characters>586</Characters>
  <CharactersWithSpaces>709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2024-10-29T00:00:59Z</dcterms:modified>
  <cp:revision>2</cp:revision>
  <dc:subject/>
  <dc:title/>
</cp:coreProperties>
</file>