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۹۲</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حدثنا ابن عيينة أنه سمع الزهري يقول</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أخبرني الحسن بن محمد بن علي وأخوه عبد الله عن أبيهما، قال</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لابن عباس إن النبي صلى الله عليه وسلم نهى عن المتعة وعن لحوم الحمر الأهلية زمن خيبر</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رواه البخاري</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Pr>
        <w:t>٥۱۱٥</w:t>
      </w:r>
      <w:r>
        <w:rPr>
          <w:rFonts w:ascii="Times New Roman" w:hAnsi="Times New Roman" w:eastAsia="Times New Roman" w:cs="Times New Roman"/>
          <w:position w:val="0"/>
          <w:sz w:val="28"/>
          <w:sz w:val="28"/>
          <w:sz w:val="28"/>
          <w:szCs w:val="28"/>
          <w:vertAlign w:val="baseline"/>
          <w:rtl w:val="true"/>
        </w:rPr>
        <w:t>، وأحمد بن حنبل</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Pr>
        <w:t>٥٩٢</w:t>
      </w:r>
      <w:r>
        <w:rPr>
          <w:rFonts w:ascii="Times New Roman" w:hAnsi="Times New Roman" w:eastAsia="Times New Roman" w:cs="Times New Roman"/>
          <w:position w:val="0"/>
          <w:sz w:val="28"/>
          <w:sz w:val="28"/>
          <w:sz w:val="28"/>
          <w:szCs w:val="28"/>
          <w:vertAlign w:val="baseline"/>
          <w:rtl w:val="true"/>
        </w:rPr>
        <w:t>، والترمذي</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Pr>
        <w:t>١١٢١</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عن علي أن النبي صلى الله عليه وسلم نهى عن نكاح المتعة يوم خيبر وعن لحوم الحمر الأهلية </w:t>
      </w:r>
      <w:r>
        <w:rPr>
          <w:rFonts w:cs="Times New Roman" w:ascii="Times New Roman" w:hAnsi="Times New Roman"/>
          <w:sz w:val="28"/>
          <w:szCs w:val="28"/>
          <w:rtl w:val="true"/>
        </w:rPr>
        <w:t>(</w:t>
      </w:r>
      <w:r>
        <w:rPr>
          <w:rFonts w:ascii="Times New Roman" w:hAnsi="Times New Roman" w:cs="Times New Roman"/>
          <w:sz w:val="28"/>
          <w:sz w:val="28"/>
          <w:szCs w:val="28"/>
          <w:rtl w:val="true"/>
        </w:rPr>
        <w:t>رواه مسلم</w:t>
      </w:r>
      <w:r>
        <w:rPr>
          <w:rFonts w:cs="Times New Roman" w:ascii="Times New Roman" w:hAnsi="Times New Roman"/>
          <w:sz w:val="28"/>
          <w:szCs w:val="28"/>
          <w:rtl w:val="true"/>
        </w:rPr>
        <w:t xml:space="preserve">: </w:t>
      </w:r>
      <w:r>
        <w:rPr>
          <w:rFonts w:ascii="Times New Roman" w:hAnsi="Times New Roman" w:cs="Times New Roman"/>
          <w:sz w:val="28"/>
          <w:sz w:val="28"/>
          <w:szCs w:val="28"/>
        </w:rPr>
        <w:t>٢٥١١</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قال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رحمه الله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وبطل نكاح المتعة وصورته أن يقول أتمتع بك كذا مدة بكذا من المال </w:t>
      </w:r>
      <w:r>
        <w:rPr>
          <w:rFonts w:cs="Times New Roman" w:ascii="Times New Roman" w:hAnsi="Times New Roman"/>
          <w:sz w:val="28"/>
          <w:szCs w:val="28"/>
          <w:rtl w:val="true"/>
        </w:rPr>
        <w:t>(«</w:t>
      </w:r>
      <w:r>
        <w:rPr>
          <w:rFonts w:ascii="Times New Roman" w:hAnsi="Times New Roman" w:cs="Times New Roman"/>
          <w:sz w:val="28"/>
          <w:sz w:val="28"/>
          <w:szCs w:val="28"/>
          <w:rtl w:val="true"/>
        </w:rPr>
        <w:t>تبيين الحقائق شرح كنز الدقائق وحاشية الشلبي</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۲</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۱۱٥</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المطبعة الكبرى الأميرية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بولاق، القاهرة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ولنا الكتاب والسنة والإجماع والمعقول، أما الكتاب الكريم فقوله عز وجل</w:t>
      </w:r>
      <w:r>
        <w:rPr>
          <w:rFonts w:cs="Times New Roman" w:ascii="Times New Roman" w:hAnsi="Times New Roman"/>
          <w:sz w:val="28"/>
          <w:szCs w:val="28"/>
          <w:rtl w:val="true"/>
        </w:rPr>
        <w:t>: {</w:t>
      </w:r>
      <w:r>
        <w:rPr>
          <w:rFonts w:ascii="Times New Roman" w:hAnsi="Times New Roman" w:cs="Times New Roman"/>
          <w:sz w:val="28"/>
          <w:sz w:val="28"/>
          <w:szCs w:val="28"/>
          <w:rtl w:val="true"/>
        </w:rPr>
        <w:t>وَالَّذِينَ هُمْ لِفُرُوجِهِمْ حَافِظُونَ إِلَّا عَلَى أَزْوَاجِهِمْ أَوْ مَا مَلَكَتْ أَيْمَانُهُمْ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حرم تعالى الجماع إلا بأحد شيئين، والمتعة ليست بنكاح ولا بملك يمين فيبقى التحريم </w:t>
      </w:r>
      <w:r>
        <w:rPr>
          <w:rFonts w:cs="Times New Roman" w:ascii="Times New Roman" w:hAnsi="Times New Roman"/>
          <w:sz w:val="28"/>
          <w:szCs w:val="28"/>
          <w:rtl w:val="true"/>
        </w:rPr>
        <w:t>(«</w:t>
      </w:r>
      <w:r>
        <w:rPr>
          <w:rFonts w:ascii="Times New Roman" w:hAnsi="Times New Roman" w:cs="Times New Roman"/>
          <w:sz w:val="28"/>
          <w:sz w:val="28"/>
          <w:szCs w:val="28"/>
          <w:rtl w:val="true"/>
        </w:rPr>
        <w:t>بدائع الصنائع في ترتيب الشرائع</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۲</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۲۷۲</w:t>
      </w:r>
      <w:r>
        <w:rPr>
          <w:rFonts w:cs="Times New Roman" w:ascii="Times New Roman" w:hAnsi="Times New Roman"/>
          <w:sz w:val="28"/>
          <w:szCs w:val="28"/>
          <w:rtl w:val="true"/>
        </w:rPr>
        <w:t>-</w:t>
      </w:r>
      <w:r>
        <w:rPr>
          <w:rFonts w:ascii="Times New Roman" w:hAnsi="Times New Roman" w:cs="Times New Roman"/>
          <w:sz w:val="28"/>
          <w:sz w:val="28"/>
          <w:szCs w:val="28"/>
        </w:rPr>
        <w:t>۲۷۳</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الكتب العلمية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والدليل على أنها ليست بنكاح أنها ترتفع من غير طلاق ولا فرقة ولا يجري التوارث بينهما، فدل أنها ليست بنكاح فلم تكن هي زوجة 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وقوله تعالى في آخر الآية</w:t>
      </w:r>
      <w:r>
        <w:rPr>
          <w:rFonts w:cs="Times New Roman" w:ascii="Times New Roman" w:hAnsi="Times New Roman"/>
          <w:sz w:val="28"/>
          <w:szCs w:val="28"/>
          <w:rtl w:val="true"/>
        </w:rPr>
        <w:t>: {</w:t>
      </w:r>
      <w:r>
        <w:rPr>
          <w:rFonts w:ascii="Times New Roman" w:hAnsi="Times New Roman" w:cs="Times New Roman"/>
          <w:sz w:val="28"/>
          <w:sz w:val="28"/>
          <w:szCs w:val="28"/>
          <w:rtl w:val="true"/>
        </w:rPr>
        <w:t>فَمَنِ ابْتَغَى وَرَاءَ ذَٰلِكَ فَأُولَٰئِكَ هُمُ الْعَادُونَ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سمي مبتغي ما وراء ذلك عاديا، فدل على حرمة الوطء بدون هذين الشيئين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وقوله عز وجل</w:t>
      </w:r>
      <w:r>
        <w:rPr>
          <w:rFonts w:cs="Times New Roman" w:ascii="Times New Roman" w:hAnsi="Times New Roman"/>
          <w:sz w:val="28"/>
          <w:szCs w:val="28"/>
          <w:rtl w:val="true"/>
        </w:rPr>
        <w:t>: {</w:t>
      </w:r>
      <w:r>
        <w:rPr>
          <w:rFonts w:ascii="Times New Roman" w:hAnsi="Times New Roman" w:cs="Times New Roman"/>
          <w:sz w:val="28"/>
          <w:sz w:val="28"/>
          <w:szCs w:val="28"/>
          <w:rtl w:val="true"/>
        </w:rPr>
        <w:t>وَلَا تُكْرِهُوا فَتَيَاتِكُمْ عَلَى الْبِغَاءِ</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وكان ذلك منهم إجارة الإماء، نهى الله عز وجل عن ذلك، وسماه بغاء فدل على الحرمة </w:t>
      </w:r>
      <w:r>
        <w:rPr>
          <w:rFonts w:cs="Times New Roman" w:ascii="Times New Roman" w:hAnsi="Times New Roman"/>
          <w:sz w:val="28"/>
          <w:szCs w:val="28"/>
          <w:rtl w:val="true"/>
        </w:rPr>
        <w:t>(«</w:t>
      </w:r>
      <w:r>
        <w:rPr>
          <w:rFonts w:ascii="Times New Roman" w:hAnsi="Times New Roman" w:cs="Times New Roman"/>
          <w:sz w:val="28"/>
          <w:sz w:val="28"/>
          <w:szCs w:val="28"/>
          <w:rtl w:val="true"/>
        </w:rPr>
        <w:t>بدائع الصنائع في ترتيب الشرائع</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۲</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۲۷۲</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الكتب العلمية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قوله</w:t>
      </w:r>
      <w:r>
        <w:rPr>
          <w:rFonts w:cs="Times New Roman" w:ascii="Times New Roman" w:hAnsi="Times New Roman"/>
          <w:sz w:val="28"/>
          <w:szCs w:val="28"/>
          <w:rtl w:val="true"/>
        </w:rPr>
        <w:t>: (</w:t>
      </w:r>
      <w:r>
        <w:rPr>
          <w:rFonts w:ascii="Times New Roman" w:hAnsi="Times New Roman" w:cs="Times New Roman"/>
          <w:sz w:val="28"/>
          <w:sz w:val="28"/>
          <w:szCs w:val="28"/>
          <w:rtl w:val="true"/>
        </w:rPr>
        <w:t>ونكاح المتعة والنكاح المؤقت باطل</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وصورة نكاح المتعة أن يقول لامرأة خذي هذه العشرة لأتمتع بك أو متعيني بنفسك أياما، وهو باطل بالإجماع </w:t>
      </w:r>
      <w:r>
        <w:rPr>
          <w:rFonts w:cs="Times New Roman" w:ascii="Times New Roman" w:hAnsi="Times New Roman"/>
          <w:sz w:val="28"/>
          <w:szCs w:val="28"/>
          <w:rtl w:val="true"/>
        </w:rPr>
        <w:t>(«</w:t>
      </w:r>
      <w:r>
        <w:rPr>
          <w:rFonts w:ascii="Times New Roman" w:hAnsi="Times New Roman" w:cs="Times New Roman"/>
          <w:sz w:val="28"/>
          <w:sz w:val="28"/>
          <w:szCs w:val="28"/>
          <w:rtl w:val="true"/>
        </w:rPr>
        <w:t>الجوهرة النيرة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۲</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۱۸</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المطبعة الخيرية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قوله وبطل نكاح المتعة والموقت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وفرق بينهما 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النهاية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w:t>
      </w:r>
      <w:r>
        <w:rPr>
          <w:rFonts w:cs="Times New Roman" w:ascii="Times New Roman" w:hAnsi="Times New Roman"/>
          <w:sz w:val="28"/>
          <w:szCs w:val="28"/>
          <w:rtl w:val="true"/>
        </w:rPr>
        <w:t>«</w:t>
      </w:r>
      <w:r>
        <w:rPr>
          <w:rFonts w:ascii="Times New Roman" w:hAnsi="Times New Roman" w:cs="Times New Roman"/>
          <w:sz w:val="28"/>
          <w:sz w:val="28"/>
          <w:szCs w:val="28"/>
          <w:rtl w:val="true"/>
        </w:rPr>
        <w:t>المعراج</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بأن يذكر في الموقت لفظ النكاح أو التزويج مع التوقيت، وفي المتعة لفظ أتمتع بك أو أستمتع</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العناية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بفرق آخر أن الموقت يكون بحضرة الشهود ويذكر فيه مدة معينة، بخلاف المتعة فإنه لو قال أتمتع بك ولم يذكر مدة كان متعة، والتحقيق ما في </w:t>
      </w:r>
      <w:r>
        <w:rPr>
          <w:rFonts w:cs="Times New Roman" w:ascii="Times New Roman" w:hAnsi="Times New Roman"/>
          <w:sz w:val="28"/>
          <w:szCs w:val="28"/>
          <w:rtl w:val="true"/>
        </w:rPr>
        <w:t>«</w:t>
      </w:r>
      <w:r>
        <w:rPr>
          <w:rFonts w:ascii="Times New Roman" w:hAnsi="Times New Roman" w:cs="Times New Roman"/>
          <w:sz w:val="28"/>
          <w:sz w:val="28"/>
          <w:szCs w:val="28"/>
          <w:rtl w:val="true"/>
        </w:rPr>
        <w:t>فتح القدير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 معنى المتعة عقد على امرأة لا يراد به مقاصد عقد النكاح من القرار للولد وتربيته، بل إما إلى مدة معينة ينتهي العقد بانتهائها أو غير معينة بمعنى بقاء العقد ما دام معها إلى أن ينصرف عنها، فيدخل فيه بمادة المتعة والنكاح الموقت أيضا فيكون من أفراد المتعة وإن عقد بلفظ التزويج وأحضر الشهود إلى آخر ما ذكره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وقد نقل 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الهداية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إجماع الصحابة على حرمته </w:t>
      </w:r>
      <w:r>
        <w:rPr>
          <w:rFonts w:cs="Times New Roman" w:ascii="Times New Roman" w:hAnsi="Times New Roman"/>
          <w:sz w:val="28"/>
          <w:szCs w:val="28"/>
          <w:rtl w:val="true"/>
        </w:rPr>
        <w:t>(«</w:t>
      </w:r>
      <w:r>
        <w:rPr>
          <w:rFonts w:ascii="Times New Roman" w:hAnsi="Times New Roman" w:cs="Times New Roman"/>
          <w:sz w:val="28"/>
          <w:sz w:val="28"/>
          <w:szCs w:val="28"/>
          <w:rtl w:val="true"/>
        </w:rPr>
        <w:t>البحر الرائق شرح كنز الدقائق</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٨</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٧٤</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المعرفة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متعة النكاح</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ويطلق عليها الفقهاء نكاح المتعة، وقد ذهب إلى حرمة هذا النكاح الحنفية، والمالكية، والشافعية، والحنابلة، وكثير من السلف </w:t>
      </w:r>
      <w:r>
        <w:rPr>
          <w:rFonts w:cs="Times New Roman" w:ascii="Times New Roman" w:hAnsi="Times New Roman"/>
          <w:sz w:val="28"/>
          <w:szCs w:val="28"/>
          <w:rtl w:val="true"/>
        </w:rPr>
        <w:t>(«</w:t>
      </w:r>
      <w:r>
        <w:rPr>
          <w:rFonts w:ascii="Times New Roman" w:hAnsi="Times New Roman" w:cs="Times New Roman"/>
          <w:sz w:val="28"/>
          <w:sz w:val="28"/>
          <w:szCs w:val="28"/>
          <w:rtl w:val="true"/>
        </w:rPr>
        <w:t>الموسوعة الفقهية الكويتية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۳۶</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۹۸</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442</Words>
  <Characters>1965</Characters>
  <CharactersWithSpaces>2400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2024-10-29T01:38:05Z</dcterms:modified>
  <cp:revision>1</cp:revision>
  <dc:subject/>
  <dc:title/>
</cp:coreProperties>
</file>