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۹۸</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يَاأَيُّهَا الَّذِينَ آمَنُوا إِنَّمَا الْخَمْرُ وَالْمَيْسِرُ وَالْأَنْصَابُ وَالْأَزْلَامُ رِجْسٌ مِنْ عَمَلِ الشَّيْطَانِ فَاجْتَنِبُوهُ لَعَلَّكُمْ تُفْلِحُونَ</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سورة المائدة، الآية </w:t>
      </w:r>
      <w:r>
        <w:rPr>
          <w:rFonts w:ascii="Times New Roman" w:hAnsi="Times New Roman" w:eastAsia="Times New Roman" w:cs="Times New Roman"/>
          <w:position w:val="0"/>
          <w:sz w:val="28"/>
          <w:sz w:val="28"/>
          <w:sz w:val="28"/>
          <w:szCs w:val="28"/>
          <w:vertAlign w:val="baseline"/>
        </w:rPr>
        <w:t>٩٠</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وفي هذه الآية الكريمة نهى الله عباده المؤمنين عن تعاطي الخمر والميسر وهو القمار، وروى ابن أبي حاتم عن أبيه عن عبس بن مرحوم عن حاتم عن جعفر بن محمد عن أبيه عن علي رضي الله تعالى عنه أنه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الشطرنج من القمار، وقال ابن أبي حاتم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حدثنا محمد بن إسماعيل الأحمسي، حدثنا وكيع عن سفيان أن الليث وعطاء ومجاهدا وطاوس قالوا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كل شيء من القمار فهو الميسر، حتى لعب الصبيان بالجوز، وروى عن راشد بن سعد وحمزة بن حبيب مثله، قالا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حتى الكعاب والجوز والبيض التي يلعب بها الصبيان </w:t>
      </w:r>
      <w:r>
        <w:rPr>
          <w:rFonts w:cs="Times New Roman" w:ascii="Times New Roman" w:hAnsi="Times New Roman"/>
          <w:sz w:val="28"/>
          <w:szCs w:val="28"/>
          <w:rtl w:val="true"/>
        </w:rPr>
        <w:t>(«</w:t>
      </w:r>
      <w:r>
        <w:rPr>
          <w:rFonts w:ascii="Times New Roman" w:hAnsi="Times New Roman" w:cs="Times New Roman"/>
          <w:sz w:val="28"/>
          <w:sz w:val="28"/>
          <w:szCs w:val="28"/>
          <w:rtl w:val="true"/>
        </w:rPr>
        <w:t>عمدة القاري شرح صحيح البخاري</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۱۸</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۲۰۸</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إحياء التراث العربي – 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قوله</w:t>
      </w:r>
      <w:r>
        <w:rPr>
          <w:rFonts w:cs="Times New Roman" w:ascii="Times New Roman" w:hAnsi="Times New Roman"/>
          <w:sz w:val="28"/>
          <w:szCs w:val="28"/>
          <w:rtl w:val="true"/>
        </w:rPr>
        <w:t>: «</w:t>
      </w:r>
      <w:r>
        <w:rPr>
          <w:rFonts w:ascii="Times New Roman" w:hAnsi="Times New Roman" w:cs="Times New Roman"/>
          <w:sz w:val="28"/>
          <w:sz w:val="28"/>
          <w:szCs w:val="28"/>
          <w:rtl w:val="true"/>
        </w:rPr>
        <w:t>من جانب واحد أو من ثالث</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بأن يقول أحدهما لصاحبه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إن سبقتني أعطيتك كذا، وإن سبقتك لا آخذ منك شيئا، أو يقول الأمير لفارسين أو راميين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من سبق منكما فله كذا، وإن سبق فلا شيء له </w:t>
      </w:r>
      <w:r>
        <w:rPr>
          <w:rFonts w:cs="Times New Roman" w:ascii="Times New Roman" w:hAnsi="Times New Roman"/>
          <w:sz w:val="28"/>
          <w:szCs w:val="28"/>
          <w:rtl w:val="true"/>
        </w:rPr>
        <w:t>(«</w:t>
      </w:r>
      <w:r>
        <w:rPr>
          <w:rFonts w:ascii="Times New Roman" w:hAnsi="Times New Roman" w:cs="Times New Roman"/>
          <w:sz w:val="28"/>
          <w:sz w:val="28"/>
          <w:szCs w:val="28"/>
          <w:rtl w:val="true"/>
        </w:rPr>
        <w:t>غرر الأفكار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قوله من الجانبين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بأن يقول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إن سبق فرسك فلك علي كذا، وإن سبق فرسي فلي عليك كذا، </w:t>
      </w:r>
      <w:r>
        <w:rPr>
          <w:rFonts w:cs="Times New Roman" w:ascii="Times New Roman" w:hAnsi="Times New Roman"/>
          <w:sz w:val="28"/>
          <w:szCs w:val="28"/>
          <w:rtl w:val="true"/>
        </w:rPr>
        <w:t>«</w:t>
      </w:r>
      <w:r>
        <w:rPr>
          <w:rFonts w:ascii="Times New Roman" w:hAnsi="Times New Roman" w:cs="Times New Roman"/>
          <w:sz w:val="28"/>
          <w:sz w:val="28"/>
          <w:szCs w:val="28"/>
          <w:rtl w:val="true"/>
        </w:rPr>
        <w:t>زيلعي</w:t>
      </w:r>
      <w:r>
        <w:rPr>
          <w:rFonts w:cs="Times New Roman" w:ascii="Times New Roman" w:hAnsi="Times New Roman"/>
          <w:sz w:val="28"/>
          <w:szCs w:val="28"/>
          <w:rtl w:val="true"/>
        </w:rPr>
        <w:t>»</w:t>
      </w:r>
      <w:r>
        <w:rPr>
          <w:rFonts w:ascii="Times New Roman" w:hAnsi="Times New Roman" w:cs="Times New Roman"/>
          <w:sz w:val="28"/>
          <w:sz w:val="28"/>
          <w:szCs w:val="28"/>
          <w:rtl w:val="true"/>
        </w:rPr>
        <w:t>؛ وكذا إن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إن سبق إبلك أو سهمك إلخ </w:t>
      </w:r>
      <w:r>
        <w:rPr>
          <w:rFonts w:cs="Times New Roman" w:ascii="Times New Roman" w:hAnsi="Times New Roman"/>
          <w:sz w:val="28"/>
          <w:szCs w:val="28"/>
          <w:rtl w:val="true"/>
        </w:rPr>
        <w:t>«</w:t>
      </w:r>
      <w:r>
        <w:rPr>
          <w:rFonts w:ascii="Times New Roman" w:hAnsi="Times New Roman" w:cs="Times New Roman"/>
          <w:sz w:val="28"/>
          <w:sz w:val="28"/>
          <w:szCs w:val="28"/>
          <w:rtl w:val="true"/>
        </w:rPr>
        <w:t>تتارخانية</w:t>
      </w:r>
      <w:r>
        <w:rPr>
          <w:rFonts w:cs="Times New Roman" w:ascii="Times New Roman" w:hAnsi="Times New Roman"/>
          <w:sz w:val="28"/>
          <w:szCs w:val="28"/>
          <w:rtl w:val="true"/>
        </w:rPr>
        <w:t>»). «</w:t>
      </w:r>
      <w:r>
        <w:rPr>
          <w:rFonts w:ascii="Times New Roman" w:hAnsi="Times New Roman" w:cs="Times New Roman"/>
          <w:sz w:val="28"/>
          <w:sz w:val="28"/>
          <w:szCs w:val="28"/>
          <w:rtl w:val="true"/>
        </w:rPr>
        <w:t>قوله لأنه يصير قمارا</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لأن القمار من القمر الذي يزداد تارة وينقص أخرى، وسمي القمار قمارا لأن كل واحد من المقامرين ممن يجوز أن يذهب ماله إلى صاحبه، ويجوز أن يستفيد مال صاحبه، وهو حرام بالنص، ولا كذلك إذا شرط من جانب واحد لأن الزيادة والنقصان لا تمكن فيهما بل في أحدهما تمكن الزيادة، وفي الآخر الانتقاص فقط، فلا تكون مقامرة لأنها مفاعلة منه </w:t>
      </w:r>
      <w:r>
        <w:rPr>
          <w:rFonts w:cs="Times New Roman" w:ascii="Times New Roman" w:hAnsi="Times New Roman"/>
          <w:sz w:val="28"/>
          <w:szCs w:val="28"/>
          <w:rtl w:val="true"/>
        </w:rPr>
        <w:t>(«</w:t>
      </w:r>
      <w:r>
        <w:rPr>
          <w:rFonts w:ascii="Times New Roman" w:hAnsi="Times New Roman" w:cs="Times New Roman"/>
          <w:sz w:val="28"/>
          <w:sz w:val="28"/>
          <w:szCs w:val="28"/>
          <w:rtl w:val="true"/>
        </w:rPr>
        <w:t>زيلعي</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الدر المختار وحاشية ابن عابدين</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٦</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۴۰۲</w:t>
      </w:r>
      <w:r>
        <w:rPr>
          <w:rFonts w:ascii="Times New Roman" w:hAnsi="Times New Roman" w:cs="Times New Roman"/>
          <w:sz w:val="28"/>
          <w:sz w:val="28"/>
          <w:szCs w:val="28"/>
          <w:rtl w:val="true"/>
        </w:rPr>
        <w:t>، مكتبة الرشيدية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وإن شرط فيها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أي في المسابقة </w:t>
      </w:r>
      <w:r>
        <w:rPr>
          <w:rFonts w:cs="Times New Roman" w:ascii="Times New Roman" w:hAnsi="Times New Roman"/>
          <w:sz w:val="28"/>
          <w:szCs w:val="28"/>
          <w:rtl w:val="true"/>
        </w:rPr>
        <w:t>(«</w:t>
      </w:r>
      <w:r>
        <w:rPr>
          <w:rFonts w:ascii="Times New Roman" w:hAnsi="Times New Roman" w:cs="Times New Roman"/>
          <w:sz w:val="28"/>
          <w:sz w:val="28"/>
          <w:szCs w:val="28"/>
          <w:rtl w:val="true"/>
        </w:rPr>
        <w:t>جعل من إحدى الجانبين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مثل أن يقول أحدهما لصاحبه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إن سبقتني أعطيك كذا، وإن سبقتك لا آخذ منك شيئا، أو </w:t>
      </w:r>
      <w:r>
        <w:rPr>
          <w:rFonts w:cs="Times New Roman" w:ascii="Times New Roman" w:hAnsi="Times New Roman"/>
          <w:sz w:val="28"/>
          <w:szCs w:val="28"/>
          <w:rtl w:val="true"/>
        </w:rPr>
        <w:t>«</w:t>
      </w:r>
      <w:r>
        <w:rPr>
          <w:rFonts w:ascii="Times New Roman" w:hAnsi="Times New Roman" w:cs="Times New Roman"/>
          <w:sz w:val="28"/>
          <w:sz w:val="28"/>
          <w:szCs w:val="28"/>
          <w:rtl w:val="true"/>
        </w:rPr>
        <w:t>شرط فيها جعل من ثالث لأسبقهما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مثل أن يقول ثالث للمتسابقين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أيكما سبق له علي كذا، </w:t>
      </w:r>
      <w:r>
        <w:rPr>
          <w:rFonts w:cs="Times New Roman" w:ascii="Times New Roman" w:hAnsi="Times New Roman"/>
          <w:sz w:val="28"/>
          <w:szCs w:val="28"/>
          <w:rtl w:val="true"/>
        </w:rPr>
        <w:t>«</w:t>
      </w:r>
      <w:r>
        <w:rPr>
          <w:rFonts w:ascii="Times New Roman" w:hAnsi="Times New Roman" w:cs="Times New Roman"/>
          <w:sz w:val="28"/>
          <w:sz w:val="28"/>
          <w:szCs w:val="28"/>
          <w:rtl w:val="true"/>
        </w:rPr>
        <w:t>جاز</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لأنه تحريض على آلة الحرب والجهاد لقوله عليه الصلاة والسلام</w:t>
      </w:r>
      <w:r>
        <w:rPr>
          <w:rFonts w:cs="Times New Roman" w:ascii="Times New Roman" w:hAnsi="Times New Roman"/>
          <w:sz w:val="28"/>
          <w:szCs w:val="28"/>
          <w:rtl w:val="true"/>
        </w:rPr>
        <w:t>: «</w:t>
      </w:r>
      <w:r>
        <w:rPr>
          <w:rFonts w:ascii="Times New Roman" w:hAnsi="Times New Roman" w:cs="Times New Roman"/>
          <w:sz w:val="28"/>
          <w:sz w:val="28"/>
          <w:szCs w:val="28"/>
          <w:rtl w:val="true"/>
        </w:rPr>
        <w:t>المؤمنون عند شروطهم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وفي القياس لا يجوز لأنه تعليق المال بالحظر، وعند الأئمة الثلاثة لا يجوز في الأقدام</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وإن شرط من كلا الجانبين يحرم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بأن يقول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إن سبق فرسك أعطيتك كذا، وإن سبق فرسي فأعطني كذا، يصير قمارا والقمار حرام إلا أن يكون بينهما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فرس </w:t>
      </w:r>
      <w:r>
        <w:rPr>
          <w:rFonts w:cs="Times New Roman" w:ascii="Times New Roman" w:hAnsi="Times New Roman"/>
          <w:sz w:val="28"/>
          <w:szCs w:val="28"/>
          <w:rtl w:val="true"/>
        </w:rPr>
        <w:t>(</w:t>
      </w:r>
      <w:r>
        <w:rPr>
          <w:rFonts w:ascii="Times New Roman" w:hAnsi="Times New Roman" w:cs="Times New Roman"/>
          <w:sz w:val="28"/>
          <w:sz w:val="28"/>
          <w:szCs w:val="28"/>
          <w:rtl w:val="true"/>
        </w:rPr>
        <w:t>محلل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كفء لهما</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أي لفرسيهما، يتوهم أنه يسبقهما </w:t>
      </w:r>
      <w:r>
        <w:rPr>
          <w:rFonts w:cs="Times New Roman" w:ascii="Times New Roman" w:hAnsi="Times New Roman"/>
          <w:sz w:val="28"/>
          <w:szCs w:val="28"/>
          <w:rtl w:val="true"/>
        </w:rPr>
        <w:t>(«</w:t>
      </w:r>
      <w:r>
        <w:rPr>
          <w:rFonts w:ascii="Times New Roman" w:hAnsi="Times New Roman" w:cs="Times New Roman"/>
          <w:sz w:val="28"/>
          <w:sz w:val="28"/>
          <w:szCs w:val="28"/>
          <w:rtl w:val="true"/>
        </w:rPr>
        <w:t>إن سبقهما أخذ</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الجعل </w:t>
      </w:r>
      <w:r>
        <w:rPr>
          <w:rFonts w:cs="Times New Roman" w:ascii="Times New Roman" w:hAnsi="Times New Roman"/>
          <w:sz w:val="28"/>
          <w:szCs w:val="28"/>
          <w:rtl w:val="true"/>
        </w:rPr>
        <w:t>«</w:t>
      </w:r>
      <w:r>
        <w:rPr>
          <w:rFonts w:ascii="Times New Roman" w:hAnsi="Times New Roman" w:cs="Times New Roman"/>
          <w:sz w:val="28"/>
          <w:sz w:val="28"/>
          <w:szCs w:val="28"/>
          <w:rtl w:val="true"/>
        </w:rPr>
        <w:t>منهما وإن سبقاه لا يعطيهما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شيئا أو بالعكس، يعني شرط أيهما لو سبقاه يعطيهما، ولو سبقهما لا يأخذ شيئا منهما، كما 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التسهيل</w:t>
      </w:r>
      <w:r>
        <w:rPr>
          <w:rFonts w:cs="Times New Roman" w:ascii="Times New Roman" w:hAnsi="Times New Roman"/>
          <w:sz w:val="28"/>
          <w:szCs w:val="28"/>
          <w:rtl w:val="true"/>
        </w:rPr>
        <w:t>»</w:t>
      </w:r>
      <w:r>
        <w:rPr>
          <w:rFonts w:ascii="Times New Roman" w:hAnsi="Times New Roman" w:cs="Times New Roman"/>
          <w:sz w:val="28"/>
          <w:sz w:val="28"/>
          <w:szCs w:val="28"/>
          <w:rtl w:val="true"/>
        </w:rPr>
        <w:t>، وفيما بينهما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أيهما سبق أخذ </w:t>
      </w:r>
      <w:r>
        <w:rPr>
          <w:rFonts w:cs="Times New Roman" w:ascii="Times New Roman" w:hAnsi="Times New Roman"/>
          <w:sz w:val="28"/>
          <w:szCs w:val="28"/>
          <w:rtl w:val="true"/>
        </w:rPr>
        <w:t>«</w:t>
      </w:r>
      <w:r>
        <w:rPr>
          <w:rFonts w:ascii="Times New Roman" w:hAnsi="Times New Roman" w:cs="Times New Roman"/>
          <w:sz w:val="28"/>
          <w:sz w:val="28"/>
          <w:szCs w:val="28"/>
          <w:rtl w:val="true"/>
        </w:rPr>
        <w:t>المال المشروط</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من الآخر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لأن بالمحلل خرج من أن يكون قمارا فيجوز، وإن لم يكن الفرس المحلل مثلهما لم يجز لأنه لا فائدة في إدخاله بينهما فلم يخرج حينئذ من أن يكون قمارا </w:t>
      </w:r>
      <w:r>
        <w:rPr>
          <w:rFonts w:cs="Times New Roman" w:ascii="Times New Roman" w:hAnsi="Times New Roman"/>
          <w:sz w:val="28"/>
          <w:szCs w:val="28"/>
          <w:rtl w:val="true"/>
        </w:rPr>
        <w:t>(«</w:t>
      </w:r>
      <w:r>
        <w:rPr>
          <w:rFonts w:ascii="Times New Roman" w:hAnsi="Times New Roman" w:cs="Times New Roman"/>
          <w:sz w:val="28"/>
          <w:sz w:val="28"/>
          <w:szCs w:val="28"/>
          <w:rtl w:val="true"/>
        </w:rPr>
        <w:t>مجمع الأنهر في شرح ملتقى الأبحر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۲</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٥٥٠</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إحياء التراث العربي</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اتفق الفقهاء على تحريم ميسر القمار </w:t>
      </w:r>
      <w:r>
        <w:rPr>
          <w:rFonts w:cs="Times New Roman" w:ascii="Times New Roman" w:hAnsi="Times New Roman"/>
          <w:sz w:val="28"/>
          <w:szCs w:val="28"/>
          <w:rtl w:val="true"/>
        </w:rPr>
        <w:t>(«</w:t>
      </w:r>
      <w:r>
        <w:rPr>
          <w:rFonts w:ascii="Times New Roman" w:hAnsi="Times New Roman" w:cs="Times New Roman"/>
          <w:sz w:val="28"/>
          <w:sz w:val="28"/>
          <w:szCs w:val="28"/>
          <w:rtl w:val="true"/>
        </w:rPr>
        <w:t>الموسوعة الفقهية الكويتية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۳۹</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٤٠٧</w:t>
      </w:r>
      <w:r>
        <w:rPr>
          <w:rFonts w:ascii="Times New Roman" w:hAnsi="Times New Roman" w:cs="Times New Roman"/>
          <w:sz w:val="28"/>
          <w:sz w:val="28"/>
          <w:szCs w:val="28"/>
          <w:rtl w:val="true"/>
        </w:rPr>
        <w:t>، مكتبة الرشيدية</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ما يكسبه المقامر هو كسب خبيث، وهو من المال الحرام مثل كسب المخادع والمقامر، والواجب في الكسب الخبيث تفريغ الذمة منه برده إلى أربابه إن علموا، وإلا إلى الفقراء </w:t>
      </w:r>
      <w:r>
        <w:rPr>
          <w:rFonts w:cs="Times New Roman" w:ascii="Times New Roman" w:hAnsi="Times New Roman"/>
          <w:sz w:val="28"/>
          <w:szCs w:val="28"/>
          <w:rtl w:val="true"/>
        </w:rPr>
        <w:t>(«</w:t>
      </w:r>
      <w:r>
        <w:rPr>
          <w:rFonts w:ascii="Times New Roman" w:hAnsi="Times New Roman" w:cs="Times New Roman"/>
          <w:sz w:val="28"/>
          <w:sz w:val="28"/>
          <w:szCs w:val="28"/>
          <w:rtl w:val="true"/>
        </w:rPr>
        <w:t>الموسوعة الفقهية الكويتية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٢٤</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٤٠٧</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2</Pages>
  <Words>511</Words>
  <Characters>2229</Characters>
  <CharactersWithSpaces>2734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2024-10-29T01:51:57Z</dcterms:modified>
  <cp:revision>1</cp:revision>
  <dc:subject/>
  <dc:title/>
</cp:coreProperties>
</file>