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۱۰۳</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يَا أَيُّهَا الَّذِينَ آمَنُوا إِنَّمَا الْخَمْرُ وَالْمَيْسِرُ وَالْأَنْصَابُ وَالْأَزْلَامُ رِجْسٌ مِنْ عَمَلِ الشَّيْطَانِ فَاجْتَنِبُوهُ لَعَلَّكُمْ تُفْلِحُونَ</w:t>
      </w:r>
      <w:r>
        <w:rPr>
          <w:rFonts w:eastAsia="Times New Roman" w:cs="Times New Roman" w:ascii="Times New Roman" w:hAnsi="Times New Roman"/>
          <w:position w:val="0"/>
          <w:sz w:val="28"/>
          <w:sz w:val="28"/>
          <w:szCs w:val="28"/>
          <w:vertAlign w:val="baseline"/>
          <w:rtl w:val="true"/>
        </w:rPr>
        <w:t>» (</w:t>
      </w:r>
      <w:r>
        <w:rPr>
          <w:rFonts w:ascii="Times New Roman" w:hAnsi="Times New Roman" w:eastAsia="Times New Roman" w:cs="Times New Roman"/>
          <w:position w:val="0"/>
          <w:sz w:val="28"/>
          <w:sz w:val="28"/>
          <w:sz w:val="28"/>
          <w:szCs w:val="28"/>
          <w:vertAlign w:val="baseline"/>
          <w:rtl w:val="true"/>
        </w:rPr>
        <w:t xml:space="preserve">سورة المائدة، الآية </w:t>
      </w:r>
      <w:r>
        <w:rPr>
          <w:rFonts w:ascii="Times New Roman" w:hAnsi="Times New Roman" w:eastAsia="Times New Roman" w:cs="Times New Roman"/>
          <w:position w:val="0"/>
          <w:sz w:val="28"/>
          <w:sz w:val="28"/>
          <w:sz w:val="28"/>
          <w:szCs w:val="28"/>
          <w:vertAlign w:val="baseline"/>
        </w:rPr>
        <w:t>٩٠</w:t>
      </w:r>
      <w:r>
        <w:rPr>
          <w:rFonts w:eastAsia="Times New Roman" w:cs="Times New Roman" w:ascii="Times New Roman" w:hAnsi="Times New Roman"/>
          <w:position w:val="0"/>
          <w:sz w:val="28"/>
          <w:sz w:val="28"/>
          <w:szCs w:val="28"/>
          <w:vertAlign w:val="baseline"/>
          <w:rtl w:val="true"/>
        </w:rPr>
        <w:t>).</w:t>
      </w:r>
    </w:p>
    <w:p>
      <w:pPr>
        <w:pStyle w:val="BodyText"/>
        <w:bidi w:val="1"/>
        <w:jc w:val="left"/>
        <w:rPr>
          <w:rFonts w:ascii="Times New Roman" w:hAnsi="Times New Roman" w:cs="Times New Roman"/>
          <w:sz w:val="28"/>
          <w:szCs w:val="28"/>
        </w:rPr>
      </w:pPr>
      <w:r>
        <w:rPr>
          <w:rFonts w:ascii="Times New Roman" w:hAnsi="Times New Roman" w:cs="Times New Roman"/>
          <w:sz w:val="28"/>
          <w:sz w:val="28"/>
          <w:szCs w:val="28"/>
          <w:rtl w:val="true"/>
        </w:rPr>
        <w:t>عن أبي هريرة قال</w:t>
      </w:r>
      <w:r>
        <w:rPr>
          <w:rFonts w:cs="Times New Roman" w:ascii="Times New Roman" w:hAnsi="Times New Roman"/>
          <w:sz w:val="28"/>
          <w:szCs w:val="28"/>
          <w:rtl w:val="true"/>
        </w:rPr>
        <w:t>: «</w:t>
      </w:r>
      <w:r>
        <w:rPr>
          <w:rFonts w:ascii="Times New Roman" w:hAnsi="Times New Roman" w:cs="Times New Roman"/>
          <w:sz w:val="28"/>
          <w:sz w:val="28"/>
          <w:szCs w:val="28"/>
          <w:rtl w:val="true"/>
        </w:rPr>
        <w:t>نهى رسول الله صلى الله عليه وسلم أن ينبذ في النقير، والمزفت، والدباء، والحنتمة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وقال</w:t>
      </w:r>
      <w:r>
        <w:rPr>
          <w:rFonts w:cs="Times New Roman" w:ascii="Times New Roman" w:hAnsi="Times New Roman"/>
          <w:sz w:val="28"/>
          <w:szCs w:val="28"/>
          <w:rtl w:val="true"/>
        </w:rPr>
        <w:t>: «</w:t>
      </w:r>
      <w:r>
        <w:rPr>
          <w:rFonts w:ascii="Times New Roman" w:hAnsi="Times New Roman" w:cs="Times New Roman"/>
          <w:sz w:val="28"/>
          <w:sz w:val="28"/>
          <w:szCs w:val="28"/>
          <w:rtl w:val="true"/>
        </w:rPr>
        <w:t>كل مسكر حرام</w:t>
      </w:r>
      <w:r>
        <w:rPr>
          <w:rFonts w:cs="Times New Roman" w:ascii="Times New Roman" w:hAnsi="Times New Roman"/>
          <w:sz w:val="28"/>
          <w:szCs w:val="28"/>
          <w:rtl w:val="true"/>
        </w:rPr>
        <w:t>» (</w:t>
      </w:r>
      <w:r>
        <w:rPr>
          <w:rFonts w:ascii="Times New Roman" w:hAnsi="Times New Roman" w:cs="Times New Roman"/>
          <w:sz w:val="28"/>
          <w:sz w:val="28"/>
          <w:szCs w:val="28"/>
          <w:rtl w:val="true"/>
        </w:rPr>
        <w:t>سنن ابن ماجه، رقم الحديث</w:t>
      </w:r>
      <w:r>
        <w:rPr>
          <w:rFonts w:cs="Times New Roman" w:ascii="Times New Roman" w:hAnsi="Times New Roman"/>
          <w:sz w:val="28"/>
          <w:szCs w:val="28"/>
          <w:rtl w:val="true"/>
        </w:rPr>
        <w:t xml:space="preserve">: </w:t>
      </w:r>
      <w:r>
        <w:rPr>
          <w:rFonts w:ascii="Times New Roman" w:hAnsi="Times New Roman" w:cs="Times New Roman"/>
          <w:sz w:val="28"/>
          <w:sz w:val="28"/>
          <w:szCs w:val="28"/>
        </w:rPr>
        <w:t>٣٤٠١</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إحياء الكتب العربية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فيصل عيسى البابي الحلبي</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المادة </w:t>
      </w:r>
      <w:r>
        <w:rPr>
          <w:rFonts w:ascii="Times New Roman" w:hAnsi="Times New Roman" w:cs="Times New Roman"/>
          <w:sz w:val="28"/>
          <w:sz w:val="28"/>
          <w:szCs w:val="28"/>
        </w:rPr>
        <w:t>٣٤</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ما حرم أخذه حرم إعطاؤه</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المادة </w:t>
      </w:r>
      <w:r>
        <w:rPr>
          <w:rFonts w:ascii="Times New Roman" w:hAnsi="Times New Roman" w:cs="Times New Roman"/>
          <w:sz w:val="28"/>
          <w:sz w:val="28"/>
          <w:szCs w:val="28"/>
        </w:rPr>
        <w:t>٣٥</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ما حرم فعله حرم طلبه</w:t>
      </w:r>
      <w:r>
        <w:rPr>
          <w:rFonts w:cs="Times New Roman" w:ascii="Times New Roman" w:hAnsi="Times New Roman"/>
          <w:sz w:val="28"/>
          <w:szCs w:val="28"/>
          <w:rtl w:val="true"/>
        </w:rPr>
        <w:t>. (</w:t>
      </w:r>
      <w:r>
        <w:rPr>
          <w:rFonts w:ascii="Times New Roman" w:hAnsi="Times New Roman" w:cs="Times New Roman"/>
          <w:sz w:val="28"/>
          <w:sz w:val="28"/>
          <w:szCs w:val="28"/>
          <w:rtl w:val="true"/>
        </w:rPr>
        <w:t>مجلة الأحكام العدلية،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نور محمد كارخانه تجارت كتب، آرام باغ، كراتشي</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قال ابن عباس</w:t>
      </w:r>
      <w:r>
        <w:rPr>
          <w:rFonts w:cs="Times New Roman" w:ascii="Times New Roman" w:hAnsi="Times New Roman"/>
          <w:sz w:val="28"/>
          <w:szCs w:val="28"/>
          <w:rtl w:val="true"/>
        </w:rPr>
        <w:t>: «</w:t>
      </w:r>
      <w:r>
        <w:rPr>
          <w:rFonts w:ascii="Times New Roman" w:hAnsi="Times New Roman" w:cs="Times New Roman"/>
          <w:sz w:val="28"/>
          <w:sz w:val="28"/>
          <w:szCs w:val="28"/>
          <w:rtl w:val="true"/>
        </w:rPr>
        <w:t>حرمت الخمر لعينها، قليلها وكثيرها، والسكر من كل شراب</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السنن الكبرى للبيهقي، ج </w:t>
      </w:r>
      <w:r>
        <w:rPr>
          <w:rFonts w:ascii="Times New Roman" w:hAnsi="Times New Roman" w:cs="Times New Roman"/>
          <w:sz w:val="28"/>
          <w:sz w:val="28"/>
          <w:szCs w:val="28"/>
        </w:rPr>
        <w:t>١٠</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٣٦١</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الكتب العلمية، بيروت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لبنان</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وممن صرّح بحرمة الحشيش والبنج والأفيون الحدادي في الجوهرة في آخر الأشربة </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البحر الرائق شرح كنز الدقائق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الكتب العلمية، ج </w:t>
      </w:r>
      <w:r>
        <w:rPr>
          <w:rFonts w:ascii="Times New Roman" w:hAnsi="Times New Roman" w:cs="Times New Roman"/>
          <w:sz w:val="28"/>
          <w:sz w:val="28"/>
          <w:szCs w:val="28"/>
        </w:rPr>
        <w:t>۳</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٤٣٢</w:t>
      </w:r>
      <w:r>
        <w:rPr>
          <w:rFonts w:ascii="Times New Roman" w:hAnsi="Times New Roman" w:cs="Times New Roman"/>
          <w:sz w:val="28"/>
          <w:sz w:val="28"/>
          <w:szCs w:val="28"/>
          <w:rtl w:val="true"/>
        </w:rPr>
        <w:t xml:space="preserve">، بيروت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لبنان</w:t>
      </w:r>
      <w:r>
        <w:rPr>
          <w:rFonts w:cs="Times New Roman" w:ascii="Times New Roman" w:hAnsi="Times New Roman"/>
          <w:sz w:val="28"/>
          <w:szCs w:val="28"/>
          <w:rtl w:val="true"/>
        </w:rPr>
        <w:t>).</w:t>
      </w:r>
    </w:p>
    <w:p>
      <w:pPr>
        <w:pStyle w:val="BodyText"/>
        <w:bidi w:val="1"/>
        <w:jc w:val="left"/>
        <w:rPr>
          <w:rFonts w:ascii="Times New Roman" w:hAnsi="Times New Roman" w:cs="Times New Roman"/>
          <w:sz w:val="28"/>
          <w:szCs w:val="28"/>
        </w:rPr>
      </w:pPr>
      <w:r>
        <w:rPr>
          <w:rFonts w:ascii="Times New Roman" w:hAnsi="Times New Roman" w:cs="Times New Roman"/>
          <w:sz w:val="28"/>
          <w:sz w:val="28"/>
          <w:szCs w:val="28"/>
          <w:rtl w:val="true"/>
        </w:rPr>
        <w:t>وفي الفقه الإسلامي</w:t>
      </w:r>
      <w:r>
        <w:rPr>
          <w:rFonts w:cs="Times New Roman" w:ascii="Times New Roman" w:hAnsi="Times New Roman"/>
          <w:sz w:val="28"/>
          <w:szCs w:val="28"/>
          <w:rtl w:val="true"/>
        </w:rPr>
        <w:t>: «</w:t>
      </w:r>
      <w:r>
        <w:rPr>
          <w:rFonts w:ascii="Times New Roman" w:hAnsi="Times New Roman" w:cs="Times New Roman"/>
          <w:sz w:val="28"/>
          <w:sz w:val="28"/>
          <w:szCs w:val="28"/>
          <w:rtl w:val="true"/>
        </w:rPr>
        <w:t>المخدرات والمسكرات أنواع متعددة، يتفنن الناس في تناولها بأسماء مختلفة، ويلجأ بعضهم إلى تعاطي أشياء تحقق الهدف المقصود من تغطية العقل، وكلها تشترك في حكم واحد، وهو التحريم بسبب ما فيها من الضرر المؤكد الحصول</w:t>
      </w:r>
      <w:r>
        <w:rPr>
          <w:rFonts w:cs="Times New Roman" w:ascii="Times New Roman" w:hAnsi="Times New Roman"/>
          <w:sz w:val="28"/>
          <w:szCs w:val="28"/>
          <w:rtl w:val="true"/>
        </w:rPr>
        <w:t>».</w:t>
      </w:r>
    </w:p>
    <w:p>
      <w:pPr>
        <w:pStyle w:val="BodyText"/>
        <w:bidi w:val="1"/>
        <w:spacing w:before="0" w:after="140"/>
        <w:jc w:val="left"/>
        <w:rPr>
          <w:rFonts w:ascii="Times New Roman" w:hAnsi="Times New Roman" w:cs="Times New Roman"/>
          <w:sz w:val="28"/>
          <w:szCs w:val="28"/>
        </w:rPr>
      </w:pPr>
      <w:r>
        <w:rPr>
          <w:rFonts w:ascii="Times New Roman" w:hAnsi="Times New Roman" w:cs="Times New Roman"/>
          <w:sz w:val="28"/>
          <w:sz w:val="28"/>
          <w:szCs w:val="28"/>
          <w:rtl w:val="true"/>
        </w:rPr>
        <w:t>ومن أشهر أنواع المخدرات</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الحشيشة، والأفيون، والكوكايين، والمورفين، والبنج </w:t>
      </w:r>
      <w:r>
        <w:rPr>
          <w:rFonts w:cs="Times New Roman" w:ascii="Times New Roman" w:hAnsi="Times New Roman"/>
          <w:sz w:val="28"/>
          <w:szCs w:val="28"/>
          <w:rtl w:val="true"/>
        </w:rPr>
        <w:t>(</w:t>
      </w:r>
      <w:r>
        <w:rPr>
          <w:rFonts w:ascii="Times New Roman" w:hAnsi="Times New Roman" w:cs="Times New Roman"/>
          <w:sz w:val="28"/>
          <w:sz w:val="28"/>
          <w:szCs w:val="28"/>
          <w:rtl w:val="true"/>
        </w:rPr>
        <w:t>نبات سام يستعمل في الطب للتخدير</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وجوزة الطيب </w:t>
      </w:r>
      <w:r>
        <w:rPr>
          <w:rFonts w:cs="Times New Roman" w:ascii="Times New Roman" w:hAnsi="Times New Roman"/>
          <w:sz w:val="28"/>
          <w:szCs w:val="28"/>
          <w:rtl w:val="true"/>
        </w:rPr>
        <w:t>(</w:t>
      </w:r>
      <w:r>
        <w:rPr>
          <w:rFonts w:ascii="Times New Roman" w:hAnsi="Times New Roman" w:cs="Times New Roman"/>
          <w:sz w:val="28"/>
          <w:sz w:val="28"/>
          <w:szCs w:val="28"/>
          <w:rtl w:val="true"/>
        </w:rPr>
        <w:t>ثمر شجرة</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والبرش </w:t>
      </w:r>
      <w:r>
        <w:rPr>
          <w:rFonts w:cs="Times New Roman" w:ascii="Times New Roman" w:hAnsi="Times New Roman"/>
          <w:sz w:val="28"/>
          <w:szCs w:val="28"/>
          <w:rtl w:val="true"/>
        </w:rPr>
        <w:t>(</w:t>
      </w:r>
      <w:r>
        <w:rPr>
          <w:rFonts w:ascii="Times New Roman" w:hAnsi="Times New Roman" w:cs="Times New Roman"/>
          <w:sz w:val="28"/>
          <w:sz w:val="28"/>
          <w:szCs w:val="28"/>
          <w:rtl w:val="true"/>
        </w:rPr>
        <w:t>مركب من الأفيون والبنج</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والقات </w:t>
      </w:r>
      <w:r>
        <w:rPr>
          <w:rFonts w:cs="Times New Roman" w:ascii="Times New Roman" w:hAnsi="Times New Roman"/>
          <w:sz w:val="28"/>
          <w:szCs w:val="28"/>
          <w:rtl w:val="true"/>
        </w:rPr>
        <w:t>(</w:t>
      </w:r>
      <w:r>
        <w:rPr>
          <w:rFonts w:ascii="Times New Roman" w:hAnsi="Times New Roman" w:cs="Times New Roman"/>
          <w:sz w:val="28"/>
          <w:sz w:val="28"/>
          <w:szCs w:val="28"/>
          <w:rtl w:val="true"/>
        </w:rPr>
        <w:t>نبات تُـمضغ أوراقه، قليله منبّه منشط، وكثيره مخدر مثبط، يورث الكسل والخمول، ويعطّل الأعمال</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وغير ذلك مما يؤخذ بالحقن أو المضغ أو التدخين أو غيرها، فيؤدي إلى تغييب العقل، وإضرار الصحة، وإفساد الأخلاق</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والحكم الشرعي للمخدرات أنها حرام في غير حالة التداوي للضرورة أو الحاجة</w:t>
      </w:r>
      <w:r>
        <w:rPr>
          <w:rFonts w:cs="Times New Roman" w:ascii="Times New Roman" w:hAnsi="Times New Roman"/>
          <w:sz w:val="28"/>
          <w:szCs w:val="28"/>
          <w:rtl w:val="true"/>
        </w:rPr>
        <w:t>» (</w:t>
      </w:r>
      <w:r>
        <w:rPr>
          <w:rFonts w:ascii="Times New Roman" w:hAnsi="Times New Roman" w:cs="Times New Roman"/>
          <w:sz w:val="28"/>
          <w:sz w:val="28"/>
          <w:szCs w:val="28"/>
          <w:rtl w:val="true"/>
        </w:rPr>
        <w:t xml:space="preserve">الفقه الإسلامي، ج </w:t>
      </w:r>
      <w:r>
        <w:rPr>
          <w:rFonts w:ascii="Times New Roman" w:hAnsi="Times New Roman" w:cs="Times New Roman"/>
          <w:sz w:val="28"/>
          <w:sz w:val="28"/>
          <w:szCs w:val="28"/>
        </w:rPr>
        <w:t>۷</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۵۵۱۲</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الفكر، سورية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دمشق</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LibreOffice/24.2.1.2$Windows_X86_64 LibreOffice_project/db4def46b0453cc22e2d0305797cf981b68ef5ac</Application>
  <AppVersion>15.0000</AppVersion>
  <Pages>1</Pages>
  <Words>261</Words>
  <Characters>1275</Characters>
  <CharactersWithSpaces>1528</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2024-10-29T13:22:50Z</dcterms:modified>
  <cp:revision>1</cp:revision>
  <dc:subject/>
  <dc:title/>
</cp:coreProperties>
</file>