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١١١</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حدثنا أحمد بن حنبل، حدثنا عبد الرزاق، حدثنا معمر، عن أيوب، عن نافع، عن ابن عمر،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أن النبي صلى الله عليه وسلم رأى صبيًا قد حلق بعض شعره وترك بعضه، فنهاهم عن ذلك، وقال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احلقوه كله، أو اتركوه كله</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سنن أبي داود، رقم الحديث </w:t>
      </w:r>
      <w:r>
        <w:rPr>
          <w:rFonts w:ascii="Times New Roman" w:hAnsi="Times New Roman" w:eastAsia="Times New Roman" w:cs="Times New Roman"/>
          <w:position w:val="0"/>
          <w:sz w:val="28"/>
          <w:sz w:val="28"/>
          <w:sz w:val="28"/>
          <w:szCs w:val="28"/>
          <w:vertAlign w:val="baseline"/>
        </w:rPr>
        <w:t>٤١٩٥</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المكتبة العصرية، صيدا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بيروت</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الحلق</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يعني حلق الكل إن أراد التنظيف أو ترك الكل ليدهنه ويرجله ويفرقه، لما في أبي داود والنسائي عن ابن عمر </w:t>
      </w:r>
      <w:r>
        <w:rPr>
          <w:rFonts w:cs="Times New Roman" w:ascii="Times New Roman" w:hAnsi="Times New Roman"/>
          <w:sz w:val="28"/>
          <w:szCs w:val="28"/>
          <w:rtl w:val="true"/>
        </w:rPr>
        <w:t>«</w:t>
      </w:r>
      <w:r>
        <w:rPr>
          <w:rFonts w:ascii="Times New Roman" w:hAnsi="Times New Roman" w:cs="Times New Roman"/>
          <w:sz w:val="28"/>
          <w:sz w:val="28"/>
          <w:szCs w:val="28"/>
          <w:rtl w:val="true"/>
        </w:rPr>
        <w:t>أن رسول الله صلى الله عليه وسلم رأى صبيًا حلق بعض رأسه وترك بعضه، فقال صلى الله عليه وسلم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احلقوه كله أو اتركوه كله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الغرائب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يستحب حلق الشعر في كل جمعة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شرح النقابة عن الإمام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يكره أن يحلق قفاه إلا عند الحجامة اهـ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حاشية على مراقي الفلاح شرح نور الإيضاح،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المطبعة الكبرى الأميرية ببولاق مصر</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ابن عابدين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القزع هو أن يُحلق بعض الرأس ويترك البعض قطعًا مقدار ثلاثة أصابع كذا في الغرائب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النووي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القزع هو حلق بعض الرأس مطلقًا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منهم من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هو حلق مواضع متفرقة منه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الحكم التكليفي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اتفق الفقهاء على كراهة القزع؛ لأن النبي صلى الله عليه وسلم نهى عن القزع وقال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احلقوه كله أو اتركوه كله</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٣٣</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١٦٥</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وذكر الطحاوي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الحلق سنة، ونسب ذلك إلى العلماء الثلاثة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الذخيرة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ولا بأس أن يُحلق وسط رأسه ويرسل شعره من غير أن يفتله، وإن فتله فذلك مكروه، لأنه يصير مشابهًا لبعض الكفرة والمجوس في ديارنا الذين يرسلون الشعر من غير فتل، ولكن لا يحلقون وسط الرأس بل يجزون الناصية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تتارخانية قال ط</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ويكره القزع أن يُحلق البعض ويترك البعض قطعًا مقدار ثلاثة أصابع كذا في الغرائب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كان بعض السلف يترك سباليه وهما أطراف الشوارب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بيروت</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يُكره القزع وهو أن يُحلق البعض ويُترك البعض قطعًا مقدار ثلاثة أصابع كذا في الغرائب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وعن أبي حنيفة رحمه الله تعالى</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يكره أن يُحلق قفاه إلا عند الحجامة، كذا في الينابيع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الفتاوى الهندية، ج </w:t>
      </w:r>
      <w:r>
        <w:rPr>
          <w:rFonts w:ascii="Times New Roman" w:hAnsi="Times New Roman" w:cs="Times New Roman"/>
          <w:sz w:val="28"/>
          <w:sz w:val="28"/>
          <w:szCs w:val="28"/>
        </w:rPr>
        <w:t>٢٢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٤٤</w:t>
      </w:r>
      <w:r>
        <w:rPr>
          <w:rFonts w:ascii="Times New Roman" w:hAnsi="Times New Roman" w:cs="Times New Roman"/>
          <w:sz w:val="28"/>
          <w:sz w:val="28"/>
          <w:szCs w:val="28"/>
          <w:rtl w:val="true"/>
        </w:rPr>
        <w:t xml:space="preserve">؛ والفقه الإسلامي وأدلته،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٤٠٩</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344</Words>
  <Characters>1466</Characters>
  <CharactersWithSpaces>1805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2024-10-29T13:48:19Z</dcterms:modified>
  <cp:revision>1</cp:revision>
  <dc:subject/>
  <dc:title/>
</cp:coreProperties>
</file>