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۱۳۵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الإشراف بمعنى المراقبة المهيمنة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إقامة هذا النوع من الإشراف واجب تحقيقاً للمصالح التي هي مقصد من مقاصد الشارع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ويتجلى ذلك فيما يأتي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الموسوعة الفقهية الكويتية ج 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٥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٦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.</w:t>
      </w:r>
    </w:p>
    <w:p>
      <w:pPr>
        <w:pStyle w:val="BodyText"/>
        <w:bidi w:val="1"/>
        <w:spacing w:before="0" w:after="140"/>
        <w:jc w:val="left"/>
        <w:rPr/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وقال صاحب شرح المجلة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لأن لإمام المسلمين نظارة عامة على عموم الرعية في الأمور العامة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...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ولأن السلطان إنما أُعطي سلطة من الله تعالى لأجل صيانة دم عباده ووقاية عرضهم وأموالهم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(</w:t>
      </w:r>
      <w:r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شرح مجلة الأحكام لسليم باز، ج </w:t>
      </w:r>
      <w:r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١</w:t>
      </w:r>
      <w:r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، ص </w:t>
      </w:r>
      <w:r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٤٣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69</Words>
  <Characters>319</Characters>
  <CharactersWithSpaces>386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2024-10-29T21:54:07Z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