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١٤١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حق الإمام في وضع الأنظمة المستنبطة من الشريعة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: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تقرير مبدأ سيادة الشريعة لا يعني حرمان الإمام ومن دونه أهل الحكم والسلطة من حق اتخاذ القرارات والأنظمة التي لا بد منها لسير أمور الدولة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ذلك لأن نصوص الشريعة محدودة ومتناهية، وأما الحوادث وتطور الحياة والمسائل التي تواجه الأمة والدولة معاً، فغير محدودة ولا متناهية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ولا بد للإمام وأهل الحكم من مواجهة كل ذلك بما يرونه من أنظمة</w:t>
      </w:r>
      <w:r>
        <w:rPr>
          <w:rFonts w:cs="Times New Roman" w:ascii="Times New Roman" w:hAnsi="Times New Roman"/>
          <w:sz w:val="28"/>
          <w:szCs w:val="28"/>
          <w:rtl w:val="true"/>
        </w:rPr>
        <w:t>.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الموسوعة الفقهية الكويتية ج </w:t>
      </w:r>
      <w:r>
        <w:rPr>
          <w:rFonts w:ascii="Times New Roman" w:hAnsi="Times New Roman" w:cs="Times New Roman"/>
          <w:sz w:val="28"/>
          <w:sz w:val="28"/>
          <w:szCs w:val="28"/>
        </w:rPr>
        <w:t>٢٥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ص </w:t>
      </w:r>
      <w:r>
        <w:rPr>
          <w:rFonts w:ascii="Times New Roman" w:hAnsi="Times New Roman" w:cs="Times New Roman"/>
          <w:sz w:val="28"/>
          <w:sz w:val="28"/>
          <w:szCs w:val="28"/>
        </w:rPr>
        <w:t>٣٠١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74</Words>
  <Characters>346</Characters>
  <CharactersWithSpaces>418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2024-10-29T15:05:12Z</dcterms:modified>
  <cp:revision>1</cp:revision>
  <dc:subject/>
  <dc:title/>
</cp:coreProperties>
</file>