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bidi w:val="1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١٤٣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وأما الإعلان في الجرائد فلم تكن أوراق حوادث في عصر الفقهاء كما هو في زماننا، فلا يوجد بحث في الكتب الفقهية بشأن الإعلان بهذه الواسطة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.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ولكن الإعلان في زماننا بواسطة الأوراق المذكورة أيضا جائز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.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ولكن بما أنه ليس كل الناس يقرءون الجرائد ويعرفون قراءتها، وبما أنه لا توجد جرائد في كل محل، فيجب الإعلان أيضا بواسطة المنادي في مجامع الناس كما قال الفقهاء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... 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درر الحكام شرح مجلة الأحكام، ج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۲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، ص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٢٤٩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، الناشر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دار الجيل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).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76</Words>
  <Characters>344</Characters>
  <CharactersWithSpaces>420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2024-10-29T15:09:00Z</dcterms:modified>
  <cp:revision>1</cp:revision>
  <dc:subject/>
  <dc:title/>
</cp:coreProperties>
</file>