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١٤٤</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أن من يعرض عليه القانون يأخذ منه أمرًا باتباع قانون من قبله بأن يكتب أمره باتباعه</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تقريرات الرافعي ضميمة</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رد المحتار على در المختار حاشية ابن عابدين</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ج </w:t>
      </w:r>
      <w:r>
        <w:rPr>
          <w:rFonts w:ascii="Times New Roman" w:hAnsi="Times New Roman" w:eastAsia="Times New Roman" w:cs="Times New Roman"/>
          <w:position w:val="0"/>
          <w:sz w:val="28"/>
          <w:sz w:val="28"/>
          <w:sz w:val="28"/>
          <w:szCs w:val="28"/>
          <w:vertAlign w:val="baseline"/>
        </w:rPr>
        <w:t>١٦</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٥٠٨</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مكتبة الطارق</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في المعراج لأن طاعة الإمام فيما ليس بمعصية واجبة اه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حاشية رد المحتار على الدر المختار،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١٧٢</w:t>
      </w:r>
      <w:r>
        <w:rPr>
          <w:rFonts w:ascii="Times New Roman" w:hAnsi="Times New Roman" w:cs="Times New Roman"/>
          <w:sz w:val="28"/>
          <w:sz w:val="28"/>
          <w:szCs w:val="28"/>
          <w:rtl w:val="true"/>
        </w:rPr>
        <w:t>، دار الفكر للطباعة والنشر، 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هل يبقى النهي بعد موت السلطان؟ لكن هل يبقى النهي بعد موت السلطان الذي نهى بحيث لا يحتاج من بعده إلى نهي جديد؟ أفتى في الخيرية بأنه لا بد من تجديد النهي ولا يستمر النهي بعده، وبأنه إذا اختلف الخصمان في أنه منهي أو غير منهي فالقول للقاضي ما لم يثبت المحكوم عليه النهي، وأطال في ذلك وأطاب فراجعه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وأما ما ذكره السيد الحموي أيضًا من أنه قد علم من عادتهم، يعني سلاطين آل عثمان نصرهم الرحمن، من أنه إذا تولى سلطان عرض عليه قانون من قبله وأخذ أمره باتباعه، فلا يفيد هنا لأن معناه أن يلتزم قانون أسلافه بأن يأمر بما أمروا به وينهى عما نهوا عنه، ولا يلزم منه أنه إذا ولّى قاضيًا ولم ينهه عن سماع هذه الدعوى أن يصير قاضيه منهيًا بمجرد ذلك، وإنما يلزم منه أنه إذا ولاه ينهاه صريحًا ليكون عاملًا بما التزمه من القانون، كما اشتهر أنه حين يوليه الآن يأمره في منشوره بالحكم بأصح أقوال المذهب كعادة من قبله، وتمام الكلام على ذلك في كتابنا </w:t>
      </w:r>
      <w:r>
        <w:rPr>
          <w:rFonts w:cs="Times New Roman" w:ascii="Times New Roman" w:hAnsi="Times New Roman"/>
          <w:sz w:val="28"/>
          <w:szCs w:val="28"/>
          <w:rtl w:val="true"/>
        </w:rPr>
        <w:t>"</w:t>
      </w:r>
      <w:r>
        <w:rPr>
          <w:rFonts w:ascii="Times New Roman" w:hAnsi="Times New Roman" w:cs="Times New Roman"/>
          <w:sz w:val="28"/>
          <w:sz w:val="28"/>
          <w:szCs w:val="28"/>
          <w:rtl w:val="true"/>
        </w:rPr>
        <w:t>تنقيح الحامدية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فراجعه، وأطلنا الكلام عليه أيضًا في كتابنا </w:t>
      </w:r>
      <w:r>
        <w:rPr>
          <w:rFonts w:cs="Times New Roman" w:ascii="Times New Roman" w:hAnsi="Times New Roman"/>
          <w:sz w:val="28"/>
          <w:szCs w:val="28"/>
          <w:rtl w:val="true"/>
        </w:rPr>
        <w:t>"</w:t>
      </w:r>
      <w:r>
        <w:rPr>
          <w:rFonts w:ascii="Times New Roman" w:hAnsi="Times New Roman" w:cs="Times New Roman"/>
          <w:sz w:val="28"/>
          <w:sz w:val="28"/>
          <w:szCs w:val="28"/>
          <w:rtl w:val="true"/>
        </w:rPr>
        <w:t>تنبيه الولاة والحكام</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رد المختار على الدر المختار، ج </w:t>
      </w:r>
      <w:r>
        <w:rPr>
          <w:rFonts w:ascii="Times New Roman" w:hAnsi="Times New Roman" w:cs="Times New Roman"/>
          <w:sz w:val="28"/>
          <w:sz w:val="28"/>
          <w:szCs w:val="28"/>
        </w:rPr>
        <w:t>٥</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٤٢٠</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 بيروت</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أنهم صرّحوا أن المباح في نفسه قد يصير حرامًا من حكم الأمير من جهة أن الله أمر بطاعتهم، فقال</w:t>
      </w:r>
      <w:r>
        <w:rPr>
          <w:rFonts w:cs="Times New Roman" w:ascii="Times New Roman" w:hAnsi="Times New Roman"/>
          <w:sz w:val="28"/>
          <w:szCs w:val="28"/>
          <w:rtl w:val="true"/>
        </w:rPr>
        <w:t>: «</w:t>
      </w:r>
      <w:r>
        <w:rPr>
          <w:rFonts w:ascii="Times New Roman" w:hAnsi="Times New Roman" w:cs="Times New Roman"/>
          <w:sz w:val="28"/>
          <w:sz w:val="28"/>
          <w:szCs w:val="28"/>
          <w:rtl w:val="true"/>
        </w:rPr>
        <w:t>أطيعوا الله وأطيعوا الرسول وأولي الأمر منكم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فحينئذ لو رأى الأمير أن يمنع الناس عن أكل شيء لمصلحة بدت له يجب عليهم أن لا يأكلوه، ويحرم عليهم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إلا أن تلك الحرمة تقتصر على مدة إمارته فقط، ولا يتجاوزها، فهي حرمة مؤقتة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ومن هذا الباب تحريم التمباك، فإنه قد نهى عنه بعض السلاطين، فاحفظه</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فيض الباري على صحيح البخاري،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٤٠٨</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بيروت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لبنان</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339</Words>
  <Characters>1416</Characters>
  <CharactersWithSpaces>1751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2024-10-29T15:11:29Z</dcterms:modified>
  <cp:revision>1</cp:revision>
  <dc:subject/>
  <dc:title/>
</cp:coreProperties>
</file>