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E6007A"/>
          <w:sz w:val="18"/>
        </w:rPr>
        <w:t>GetCourt — Evidence Submission</w:t>
      </w:r>
    </w:p>
    <w:p>
      <w:pPr>
        <w:pStyle w:val="Heading1"/>
      </w:pPr>
      <w:r>
        <w:t>Statement of the Payer</w:t>
      </w:r>
    </w:p>
    <w:p>
      <w:pPr>
        <w:spacing w:after="240"/>
      </w:pPr>
      <w:r>
        <w:rPr>
          <w:color w:val="636C76"/>
          <w:sz w:val="19"/>
        </w:rPr>
        <w:t>Submitted by Rahul (payer) · claimant · Escrow #1 · Dispute #1</w:t>
      </w:r>
    </w:p>
    <w:tbl>
      <w:tblPr>
        <w:tblStyle w:val="TableGrid"/>
        <w:tblW w:type="auto" w:w="0"/>
        <w:tblLook w:firstColumn="1" w:firstRow="1" w:lastColumn="0" w:lastRow="0" w:noHBand="0" w:noVBand="1" w:val="04A0"/>
      </w:tblPr>
      <w:tblGrid>
        <w:gridCol w:w="4824"/>
        <w:gridCol w:w="4824"/>
      </w:tblGrid>
      <w:tr>
        <w:tc>
          <w:tcPr>
            <w:tcW w:type="dxa" w:w="2304"/>
          </w:tcPr>
          <w:p>
            <w:pPr>
              <w:spacing w:after="40" w:before="40"/>
            </w:pPr>
            <w:r/>
            <w:r>
              <w:rPr>
                <w:b/>
                <w:sz w:val="19"/>
              </w:rPr>
              <w:t>Agreement</w:t>
            </w:r>
          </w:p>
        </w:tc>
        <w:tc>
          <w:tcPr>
            <w:tcW w:type="dxa" w:w="7200"/>
          </w:tcPr>
          <w:p>
            <w:pPr>
              <w:spacing w:after="40" w:before="40"/>
            </w:pPr>
            <w:r/>
            <w:r>
              <w:rPr>
                <w:b w:val="0"/>
                <w:sz w:val="19"/>
              </w:rPr>
              <w:t>Redesign of a five-page marketing site, delivered as working HTML</w:t>
            </w:r>
          </w:p>
        </w:tc>
      </w:tr>
      <w:tr>
        <w:tc>
          <w:tcPr>
            <w:tcW w:type="dxa" w:w="2304"/>
          </w:tcPr>
          <w:p>
            <w:pPr>
              <w:spacing w:after="40" w:before="40"/>
            </w:pPr>
            <w:r/>
            <w:r>
              <w:rPr>
                <w:b/>
                <w:sz w:val="19"/>
              </w:rPr>
              <w:t>Agreed price</w:t>
            </w:r>
          </w:p>
        </w:tc>
        <w:tc>
          <w:tcPr>
            <w:tcW w:type="dxa" w:w="7200"/>
          </w:tcPr>
          <w:p>
            <w:pPr>
              <w:spacing w:after="40" w:before="40"/>
            </w:pPr>
            <w:r/>
            <w:r>
              <w:rPr>
                <w:b w:val="0"/>
                <w:sz w:val="19"/>
              </w:rPr>
              <w:t>20 PAS, held in escrow</w:t>
            </w:r>
          </w:p>
        </w:tc>
      </w:tr>
      <w:tr>
        <w:tc>
          <w:tcPr>
            <w:tcW w:type="dxa" w:w="2304"/>
          </w:tcPr>
          <w:p>
            <w:pPr>
              <w:spacing w:after="40" w:before="40"/>
            </w:pPr>
            <w:r/>
            <w:r>
              <w:rPr>
                <w:b/>
                <w:sz w:val="19"/>
              </w:rPr>
              <w:t>Agreed deadline</w:t>
            </w:r>
          </w:p>
        </w:tc>
        <w:tc>
          <w:tcPr>
            <w:tcW w:type="dxa" w:w="7200"/>
          </w:tcPr>
          <w:p>
            <w:pPr>
              <w:spacing w:after="40" w:before="40"/>
            </w:pPr>
            <w:r/>
            <w:r>
              <w:rPr>
                <w:b w:val="0"/>
                <w:sz w:val="19"/>
              </w:rPr>
              <w:t>14 September 2026</w:t>
            </w:r>
          </w:p>
        </w:tc>
      </w:tr>
      <w:tr>
        <w:tc>
          <w:tcPr>
            <w:tcW w:type="dxa" w:w="2304"/>
          </w:tcPr>
          <w:p>
            <w:pPr>
              <w:spacing w:after="40" w:before="40"/>
            </w:pPr>
            <w:r/>
            <w:r>
              <w:rPr>
                <w:b/>
                <w:sz w:val="19"/>
              </w:rPr>
              <w:t>Delivered on</w:t>
            </w:r>
          </w:p>
        </w:tc>
        <w:tc>
          <w:tcPr>
            <w:tcW w:type="dxa" w:w="7200"/>
          </w:tcPr>
          <w:p>
            <w:pPr>
              <w:spacing w:after="40" w:before="40"/>
            </w:pPr>
            <w:r/>
            <w:r>
              <w:rPr>
                <w:b w:val="0"/>
                <w:sz w:val="19"/>
              </w:rPr>
              <w:t>19 September 2026, partial</w:t>
            </w:r>
          </w:p>
        </w:tc>
      </w:tr>
      <w:tr>
        <w:tc>
          <w:tcPr>
            <w:tcW w:type="dxa" w:w="2304"/>
          </w:tcPr>
          <w:p>
            <w:pPr>
              <w:spacing w:after="40" w:before="40"/>
            </w:pPr>
            <w:r/>
            <w:r>
              <w:rPr>
                <w:b/>
                <w:sz w:val="19"/>
              </w:rPr>
              <w:t>Requested ruling</w:t>
            </w:r>
          </w:p>
        </w:tc>
        <w:tc>
          <w:tcPr>
            <w:tcW w:type="dxa" w:w="7200"/>
          </w:tcPr>
          <w:p>
            <w:pPr>
              <w:spacing w:after="40" w:before="40"/>
            </w:pPr>
            <w:r/>
            <w:r>
              <w:rPr>
                <w:b w:val="0"/>
                <w:sz w:val="19"/>
              </w:rPr>
              <w:t>Refund the payer (choice 2)</w:t>
            </w:r>
          </w:p>
        </w:tc>
      </w:tr>
    </w:tbl>
    <w:p/>
    <w:p>
      <w:pPr>
        <w:pStyle w:val="Heading2"/>
      </w:pPr>
      <w:r>
        <w:t>What was agreed</w:t>
      </w:r>
    </w:p>
    <w:p>
      <w:r>
        <w:t>The scope was five pages — home, pricing, about, blog index and contact — each responsive down to a 375 pixel viewport, delivered as static HTML and CSS with no build step required. Payment of 20 PAS was placed in escrow on 1 September 2026 and the deadline was agreed as 14 September.</w:t>
      </w:r>
    </w:p>
    <w:p>
      <w:pPr>
        <w:pStyle w:val="Heading2"/>
      </w:pPr>
      <w:r>
        <w:t>What was delivered</w:t>
      </w:r>
    </w:p>
    <w:p>
      <w:pPr>
        <w:pStyle w:val="ListBullet"/>
        <w:spacing w:after="60"/>
      </w:pPr>
      <w:r>
        <w:rPr>
          <w:sz w:val="21"/>
        </w:rPr>
        <w:t>Home and pricing pages were delivered on 19 September, five days late.</w:t>
      </w:r>
    </w:p>
    <w:p>
      <w:pPr>
        <w:pStyle w:val="ListBullet"/>
        <w:spacing w:after="60"/>
      </w:pPr>
      <w:r>
        <w:rPr>
          <w:sz w:val="21"/>
        </w:rPr>
        <w:t>The about, blog index and contact pages were never delivered.</w:t>
      </w:r>
    </w:p>
    <w:p>
      <w:pPr>
        <w:pStyle w:val="ListBullet"/>
        <w:spacing w:after="60"/>
      </w:pPr>
      <w:r>
        <w:rPr>
          <w:sz w:val="21"/>
        </w:rPr>
        <w:t>Neither delivered page is responsive below 900 pixels; the navigation overlaps the hero text.</w:t>
      </w:r>
    </w:p>
    <w:p>
      <w:pPr>
        <w:pStyle w:val="ListBullet"/>
        <w:spacing w:after="60"/>
      </w:pPr>
      <w:r>
        <w:rPr>
          <w:sz w:val="21"/>
        </w:rPr>
        <w:t>A build step using an unpinned toolchain was introduced, which was explicitly out of scope.</w:t>
      </w:r>
    </w:p>
    <w:p>
      <w:pPr>
        <w:pStyle w:val="Heading2"/>
      </w:pPr>
      <w:r>
        <w:t>Attempts to resolve</w:t>
      </w:r>
    </w:p>
    <w:p>
      <w:r>
        <w:t>I asked for the three missing pages on 15, 17 and 20 September. The first two messages received no reply. On 20 September the payee stated that the remaining pages were "close to done" but nothing further arrived in the following week.</w:t>
      </w:r>
    </w:p>
    <w:p>
      <w:pPr>
        <w:pStyle w:val="Heading2"/>
      </w:pPr>
      <w:r>
        <w:t>Why a refund is the correct ruling</w:t>
      </w:r>
    </w:p>
    <w:p>
      <w:r>
        <w:t>Two of five pages were delivered, late, and neither meets the responsiveness requirement that was part of the agreement. Approximately thirty percent of the scope was met. Releasing the full escrow to the payee would pay the full price for a partial and defective delivery, so I ask the panel to refund the payer.</w:t>
      </w:r>
    </w:p>
    <w:p>
      <w:pPr>
        <w:jc w:val="left"/>
      </w:pPr>
      <w:r>
        <w:rPr>
          <w:i/>
          <w:color w:val="636C76"/>
          <w:sz w:val="17"/>
        </w:rPr>
        <w:t>This document is demonstration evidence created for testing GetCourt. The parties, dates and events described here are fictional.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3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