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E6007A"/>
          <w:sz w:val="18"/>
        </w:rPr>
        <w:t>GetCourt — Evidence Submission</w:t>
      </w:r>
    </w:p>
    <w:p>
      <w:pPr>
        <w:pStyle w:val="Heading1"/>
      </w:pPr>
      <w:r>
        <w:t>Response of the Payee</w:t>
      </w:r>
    </w:p>
    <w:p>
      <w:pPr>
        <w:spacing w:after="240"/>
      </w:pPr>
      <w:r>
        <w:rPr>
          <w:color w:val="636C76"/>
          <w:sz w:val="19"/>
        </w:rPr>
        <w:t>Submitted by Priya (payee) · respondent · Escrow #1 · Dispute #1</w:t>
      </w:r>
    </w:p>
    <w:tbl>
      <w:tblPr>
        <w:tblStyle w:val="TableGrid"/>
        <w:tblW w:type="auto" w:w="0"/>
        <w:tblLook w:firstColumn="1" w:firstRow="1" w:lastColumn="0" w:lastRow="0" w:noHBand="0" w:noVBand="1" w:val="04A0"/>
      </w:tblPr>
      <w:tblGrid>
        <w:gridCol w:w="4824"/>
        <w:gridCol w:w="4824"/>
      </w:tblGrid>
      <w:tr>
        <w:tc>
          <w:tcPr>
            <w:tcW w:type="dxa" w:w="2304"/>
          </w:tcPr>
          <w:p>
            <w:pPr>
              <w:spacing w:after="40" w:before="40"/>
            </w:pPr>
            <w:r/>
            <w:r>
              <w:rPr>
                <w:b/>
                <w:sz w:val="19"/>
              </w:rPr>
              <w:t>Agreement</w:t>
            </w:r>
          </w:p>
        </w:tc>
        <w:tc>
          <w:tcPr>
            <w:tcW w:type="dxa" w:w="7200"/>
          </w:tcPr>
          <w:p>
            <w:pPr>
              <w:spacing w:after="40" w:before="40"/>
            </w:pPr>
            <w:r/>
            <w:r>
              <w:rPr>
                <w:b w:val="0"/>
                <w:sz w:val="19"/>
              </w:rPr>
              <w:t>Redesign of a five-page marketing site</w:t>
            </w:r>
          </w:p>
        </w:tc>
      </w:tr>
      <w:tr>
        <w:tc>
          <w:tcPr>
            <w:tcW w:type="dxa" w:w="2304"/>
          </w:tcPr>
          <w:p>
            <w:pPr>
              <w:spacing w:after="40" w:before="40"/>
            </w:pPr>
            <w:r/>
            <w:r>
              <w:rPr>
                <w:b/>
                <w:sz w:val="19"/>
              </w:rPr>
              <w:t>Agreed price</w:t>
            </w:r>
          </w:p>
        </w:tc>
        <w:tc>
          <w:tcPr>
            <w:tcW w:type="dxa" w:w="7200"/>
          </w:tcPr>
          <w:p>
            <w:pPr>
              <w:spacing w:after="40" w:before="40"/>
            </w:pPr>
            <w:r/>
            <w:r>
              <w:rPr>
                <w:b w:val="0"/>
                <w:sz w:val="19"/>
              </w:rPr>
              <w:t>20 PAS, held in escrow</w:t>
            </w:r>
          </w:p>
        </w:tc>
      </w:tr>
      <w:tr>
        <w:tc>
          <w:tcPr>
            <w:tcW w:type="dxa" w:w="2304"/>
          </w:tcPr>
          <w:p>
            <w:pPr>
              <w:spacing w:after="40" w:before="40"/>
            </w:pPr>
            <w:r/>
            <w:r>
              <w:rPr>
                <w:b/>
                <w:sz w:val="19"/>
              </w:rPr>
              <w:t>Position</w:t>
            </w:r>
          </w:p>
        </w:tc>
        <w:tc>
          <w:tcPr>
            <w:tcW w:type="dxa" w:w="7200"/>
          </w:tcPr>
          <w:p>
            <w:pPr>
              <w:spacing w:after="40" w:before="40"/>
            </w:pPr>
            <w:r/>
            <w:r>
              <w:rPr>
                <w:b w:val="0"/>
                <w:sz w:val="19"/>
              </w:rPr>
              <w:t>Scope changed after work began; delivery reflects the revised scope</w:t>
            </w:r>
          </w:p>
        </w:tc>
      </w:tr>
      <w:tr>
        <w:tc>
          <w:tcPr>
            <w:tcW w:type="dxa" w:w="2304"/>
          </w:tcPr>
          <w:p>
            <w:pPr>
              <w:spacing w:after="40" w:before="40"/>
            </w:pPr>
            <w:r/>
            <w:r>
              <w:rPr>
                <w:b/>
                <w:sz w:val="19"/>
              </w:rPr>
              <w:t>Requested ruling</w:t>
            </w:r>
          </w:p>
        </w:tc>
        <w:tc>
          <w:tcPr>
            <w:tcW w:type="dxa" w:w="7200"/>
          </w:tcPr>
          <w:p>
            <w:pPr>
              <w:spacing w:after="40" w:before="40"/>
            </w:pPr>
            <w:r/>
            <w:r>
              <w:rPr>
                <w:b w:val="0"/>
                <w:sz w:val="19"/>
              </w:rPr>
              <w:t>Release the escrow to the payee (choice 1)</w:t>
            </w:r>
          </w:p>
        </w:tc>
      </w:tr>
    </w:tbl>
    <w:p/>
    <w:p>
      <w:pPr>
        <w:pStyle w:val="Heading2"/>
      </w:pPr>
      <w:r>
        <w:t>The scope did not stay fixed</w:t>
      </w:r>
    </w:p>
    <w:p>
      <w:r>
        <w:t>On 6 September the payer asked for a pricing table with monthly and annual toggles, which was not in the original brief. I estimated three additional days and the payer agreed in writing. That change is the reason the first delivery landed on 19 rather than 14 September.</w:t>
      </w:r>
    </w:p>
    <w:p>
      <w:pPr>
        <w:pStyle w:val="Heading2"/>
      </w:pPr>
      <w:r>
        <w:t>What was delivered</w:t>
      </w:r>
    </w:p>
    <w:p>
      <w:pPr>
        <w:pStyle w:val="ListBullet"/>
        <w:spacing w:after="60"/>
      </w:pPr>
      <w:r>
        <w:rPr>
          <w:sz w:val="21"/>
        </w:rPr>
        <w:t>Home and pricing pages, both including the pricing table added after the brief was agreed.</w:t>
      </w:r>
    </w:p>
    <w:p>
      <w:pPr>
        <w:pStyle w:val="ListBullet"/>
        <w:spacing w:after="60"/>
      </w:pPr>
      <w:r>
        <w:rPr>
          <w:sz w:val="21"/>
        </w:rPr>
        <w:t>A shared component layer the remaining three pages are assembled from.</w:t>
      </w:r>
    </w:p>
    <w:p>
      <w:pPr>
        <w:pStyle w:val="ListBullet"/>
        <w:spacing w:after="60"/>
      </w:pPr>
      <w:r>
        <w:rPr>
          <w:sz w:val="21"/>
        </w:rPr>
        <w:t>Responsiveness was implemented from 900 pixels upward; the 375 pixel requirement was never stated in writing.</w:t>
      </w:r>
    </w:p>
    <w:p>
      <w:pPr>
        <w:pStyle w:val="Heading2"/>
      </w:pPr>
      <w:r>
        <w:t>Why the delay continued</w:t>
      </w:r>
    </w:p>
    <w:p>
      <w:r>
        <w:t>Between 20 and 26 September I asked three times for the copy and images for the about, blog and contact pages. The payer did not supply them. Those pages cannot be completed without content, and the build has been waiting on the payer since then.</w:t>
      </w:r>
    </w:p>
    <w:p>
      <w:pPr>
        <w:pStyle w:val="Heading2"/>
      </w:pPr>
      <w:r>
        <w:t>Why release is the correct ruling</w:t>
      </w:r>
    </w:p>
    <w:p>
      <w:r>
        <w:t>The work that could be completed was completed, including an addition the payer requested after the agreement. The outstanding pages are blocked on the payer, not on me. I ask the panel to release the escrow.</w:t>
      </w:r>
    </w:p>
    <w:p>
      <w:r>
        <w:rPr>
          <w:i/>
          <w:color w:val="636C76"/>
          <w:sz w:val="17"/>
        </w:rPr>
        <w:t>This document is demonstration evidence created for testing GetCourt. The parties, dates and events described here are fictional.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3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